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1017E" w14:textId="31786B6B" w:rsidR="00067548" w:rsidRPr="000404EF" w:rsidRDefault="00067548" w:rsidP="00067548">
      <w:pPr>
        <w:pStyle w:val="3GPPHeader"/>
        <w:spacing w:after="60"/>
        <w:rPr>
          <w:lang w:val="en-US"/>
        </w:rPr>
      </w:pPr>
      <w:r w:rsidRPr="000404EF">
        <w:rPr>
          <w:lang w:val="en-US"/>
        </w:rPr>
        <w:t>3GPP TSG-RAN WG2</w:t>
      </w:r>
      <w:r w:rsidR="00502773">
        <w:rPr>
          <w:lang w:val="en-US"/>
        </w:rPr>
        <w:t xml:space="preserve"> #9</w:t>
      </w:r>
      <w:r w:rsidR="00F840D2">
        <w:rPr>
          <w:lang w:val="en-US"/>
        </w:rPr>
        <w:t>8</w:t>
      </w:r>
      <w:r w:rsidRPr="000404EF">
        <w:rPr>
          <w:lang w:val="en-US"/>
        </w:rPr>
        <w:tab/>
      </w:r>
      <w:r w:rsidRPr="006102C7">
        <w:rPr>
          <w:lang w:val="en-US"/>
        </w:rPr>
        <w:t xml:space="preserve">Tdoc </w:t>
      </w:r>
      <w:r w:rsidR="00E54D82" w:rsidRPr="008D75A0">
        <w:rPr>
          <w:bCs/>
        </w:rPr>
        <w:t>R2-</w:t>
      </w:r>
      <w:r w:rsidR="00FD5822" w:rsidRPr="008D75A0">
        <w:rPr>
          <w:bCs/>
        </w:rPr>
        <w:t>1704355</w:t>
      </w:r>
    </w:p>
    <w:p w14:paraId="18631385" w14:textId="12D1EFBC" w:rsidR="00067548" w:rsidRDefault="00F840D2" w:rsidP="00067548">
      <w:pPr>
        <w:pStyle w:val="3GPPHeader"/>
        <w:spacing w:after="60"/>
        <w:rPr>
          <w:b w:val="0"/>
          <w:noProof/>
        </w:rPr>
      </w:pPr>
      <w:r>
        <w:t>Hangzhou,</w:t>
      </w:r>
      <w:r w:rsidR="00FD5822">
        <w:t xml:space="preserve"> P.R. of</w:t>
      </w:r>
      <w:r>
        <w:t xml:space="preserve"> China, 15</w:t>
      </w:r>
      <w:r>
        <w:rPr>
          <w:vertAlign w:val="superscript"/>
        </w:rPr>
        <w:t>th</w:t>
      </w:r>
      <w:r>
        <w:t xml:space="preserve"> – 19</w:t>
      </w:r>
      <w:r w:rsidRPr="00AE3743">
        <w:rPr>
          <w:vertAlign w:val="superscript"/>
        </w:rPr>
        <w:t>th</w:t>
      </w:r>
      <w:r>
        <w:t xml:space="preserve"> May 2017</w:t>
      </w:r>
      <w:r w:rsidR="00FA2E09">
        <w:rPr>
          <w:lang w:val="en-US"/>
        </w:rPr>
        <w:tab/>
      </w:r>
    </w:p>
    <w:p w14:paraId="2BF09981" w14:textId="77777777" w:rsidR="00E90E49" w:rsidRPr="00CE0424" w:rsidRDefault="00E90E49" w:rsidP="00357380">
      <w:pPr>
        <w:pStyle w:val="3GPPHeader"/>
      </w:pPr>
    </w:p>
    <w:p w14:paraId="483DA894" w14:textId="27DA242F" w:rsidR="00E90E49" w:rsidRPr="00FD5822" w:rsidRDefault="00E90E49" w:rsidP="00311702">
      <w:pPr>
        <w:pStyle w:val="3GPPHeader"/>
        <w:rPr>
          <w:sz w:val="22"/>
          <w:szCs w:val="22"/>
          <w:lang w:val="en-US"/>
        </w:rPr>
      </w:pPr>
      <w:r w:rsidRPr="00E37A11">
        <w:rPr>
          <w:sz w:val="22"/>
          <w:szCs w:val="22"/>
          <w:lang w:val="en-US"/>
        </w:rPr>
        <w:t>Agenda Item:</w:t>
      </w:r>
      <w:r w:rsidRPr="00E37A11">
        <w:rPr>
          <w:sz w:val="22"/>
          <w:szCs w:val="22"/>
          <w:lang w:val="en-US"/>
        </w:rPr>
        <w:tab/>
      </w:r>
      <w:r w:rsidR="006102C7" w:rsidRPr="008D75A0">
        <w:rPr>
          <w:sz w:val="22"/>
          <w:szCs w:val="22"/>
          <w:lang w:val="en-US"/>
        </w:rPr>
        <w:t>10.4.1.</w:t>
      </w:r>
      <w:r w:rsidR="00FD5822" w:rsidRPr="00FD5822">
        <w:rPr>
          <w:sz w:val="22"/>
          <w:szCs w:val="22"/>
          <w:lang w:val="en-US"/>
        </w:rPr>
        <w:t>7</w:t>
      </w:r>
    </w:p>
    <w:p w14:paraId="007910E2" w14:textId="77777777" w:rsidR="00E90E49" w:rsidRPr="00FD5822" w:rsidRDefault="003D3C45" w:rsidP="00F64C2B">
      <w:pPr>
        <w:pStyle w:val="3GPPHeader"/>
        <w:rPr>
          <w:sz w:val="22"/>
          <w:szCs w:val="22"/>
        </w:rPr>
      </w:pPr>
      <w:r w:rsidRPr="00A10F87">
        <w:rPr>
          <w:sz w:val="22"/>
          <w:szCs w:val="22"/>
        </w:rPr>
        <w:t>Source:</w:t>
      </w:r>
      <w:r w:rsidR="00E90E49" w:rsidRPr="00FD5822">
        <w:rPr>
          <w:sz w:val="22"/>
          <w:szCs w:val="22"/>
        </w:rPr>
        <w:tab/>
      </w:r>
      <w:r w:rsidR="00F64C2B" w:rsidRPr="00FD5822">
        <w:rPr>
          <w:sz w:val="22"/>
          <w:szCs w:val="22"/>
        </w:rPr>
        <w:t>Ericsson</w:t>
      </w:r>
    </w:p>
    <w:p w14:paraId="3F895CC8" w14:textId="5A5C9F40" w:rsidR="00E90E49" w:rsidRPr="00FD5822" w:rsidRDefault="003D3C45" w:rsidP="00311702">
      <w:pPr>
        <w:pStyle w:val="3GPPHeader"/>
        <w:rPr>
          <w:sz w:val="22"/>
          <w:szCs w:val="22"/>
        </w:rPr>
      </w:pPr>
      <w:r w:rsidRPr="00FD5822">
        <w:rPr>
          <w:sz w:val="22"/>
          <w:szCs w:val="22"/>
        </w:rPr>
        <w:t>Title:</w:t>
      </w:r>
      <w:r w:rsidR="00E90E49" w:rsidRPr="00FD5822">
        <w:rPr>
          <w:sz w:val="22"/>
          <w:szCs w:val="22"/>
        </w:rPr>
        <w:tab/>
      </w:r>
      <w:r w:rsidR="00AC0ECA" w:rsidRPr="00FD5822">
        <w:rPr>
          <w:sz w:val="22"/>
          <w:szCs w:val="22"/>
        </w:rPr>
        <w:t>Unified Access Control Assessment</w:t>
      </w:r>
    </w:p>
    <w:p w14:paraId="13B944B8" w14:textId="77777777" w:rsidR="00E90E49" w:rsidRPr="00CE0424" w:rsidRDefault="00E90E49" w:rsidP="007146AF">
      <w:pPr>
        <w:pStyle w:val="3GPPHeader"/>
      </w:pPr>
      <w:r w:rsidRPr="00FD5822">
        <w:rPr>
          <w:sz w:val="22"/>
          <w:szCs w:val="22"/>
        </w:rPr>
        <w:t>Document for:</w:t>
      </w:r>
      <w:r w:rsidRPr="00FD5822">
        <w:rPr>
          <w:sz w:val="22"/>
          <w:szCs w:val="22"/>
        </w:rPr>
        <w:tab/>
      </w:r>
      <w:r w:rsidRPr="008D75A0">
        <w:rPr>
          <w:sz w:val="22"/>
          <w:szCs w:val="22"/>
        </w:rPr>
        <w:t>Discussion, Decision</w:t>
      </w:r>
      <w:bookmarkStart w:id="0" w:name="_GoBack"/>
      <w:bookmarkEnd w:id="0"/>
    </w:p>
    <w:p w14:paraId="458E008A" w14:textId="7A1D4CA1" w:rsidR="00E90E49" w:rsidRDefault="00E90E49" w:rsidP="00CE0424">
      <w:pPr>
        <w:pStyle w:val="Heading1"/>
      </w:pPr>
      <w:r w:rsidRPr="00CE0424">
        <w:t>Introduction</w:t>
      </w:r>
    </w:p>
    <w:p w14:paraId="1302A502" w14:textId="2C2E1AA0" w:rsidR="00F840D2" w:rsidRDefault="00F840D2" w:rsidP="00F142A1">
      <w:r>
        <w:t>This is an update of R2-1702864</w:t>
      </w:r>
      <w:r w:rsidR="008D75A0">
        <w:t>.</w:t>
      </w:r>
    </w:p>
    <w:p w14:paraId="016C4766" w14:textId="18D3DE44" w:rsidR="00F142A1" w:rsidRPr="00CD1D69" w:rsidRDefault="00F142A1" w:rsidP="00F142A1">
      <w:r w:rsidRPr="00CD1D69">
        <w:t xml:space="preserve">In RAN2 NR Ad Hoc (Jan 2017), the following agreements were made: </w:t>
      </w:r>
    </w:p>
    <w:p w14:paraId="31FBC06A" w14:textId="77777777" w:rsidR="00F142A1" w:rsidRPr="00CD1D69" w:rsidRDefault="00F142A1" w:rsidP="00F142A1">
      <w:pPr>
        <w:pStyle w:val="Doc-text2"/>
      </w:pPr>
    </w:p>
    <w:p w14:paraId="22116A5E" w14:textId="77777777" w:rsidR="00F142A1" w:rsidRPr="00CD1D69" w:rsidRDefault="00F142A1" w:rsidP="00F142A1">
      <w:pPr>
        <w:pStyle w:val="Doc-text2"/>
        <w:pBdr>
          <w:top w:val="single" w:sz="4" w:space="1" w:color="auto"/>
          <w:left w:val="single" w:sz="4" w:space="4" w:color="auto"/>
          <w:bottom w:val="single" w:sz="4" w:space="1" w:color="auto"/>
          <w:right w:val="single" w:sz="4" w:space="4" w:color="auto"/>
        </w:pBdr>
      </w:pPr>
      <w:r w:rsidRPr="00CD1D69">
        <w:t>Agreements:</w:t>
      </w:r>
    </w:p>
    <w:p w14:paraId="112A5E8C" w14:textId="77777777" w:rsidR="00F142A1" w:rsidRPr="00CD1D69" w:rsidRDefault="00F142A1" w:rsidP="00F142A1">
      <w:pPr>
        <w:pStyle w:val="Doc-text2"/>
        <w:pBdr>
          <w:top w:val="single" w:sz="4" w:space="1" w:color="auto"/>
          <w:left w:val="single" w:sz="4" w:space="4" w:color="auto"/>
          <w:bottom w:val="single" w:sz="4" w:space="1" w:color="auto"/>
          <w:right w:val="single" w:sz="4" w:space="4" w:color="auto"/>
        </w:pBdr>
      </w:pPr>
      <w:r w:rsidRPr="00CD1D69">
        <w:t>1:</w:t>
      </w:r>
      <w:r w:rsidRPr="00CD1D69">
        <w:tab/>
        <w:t>NR system should support overload/access control functionality of RACH backoff, RRC Connection Reject, RRC Connection Release and UE based access barring mechanisms.</w:t>
      </w:r>
    </w:p>
    <w:p w14:paraId="2179DA25" w14:textId="77777777" w:rsidR="00F142A1" w:rsidRPr="00CD1D69" w:rsidRDefault="00F142A1" w:rsidP="00F142A1">
      <w:pPr>
        <w:pStyle w:val="Doc-text2"/>
        <w:pBdr>
          <w:top w:val="single" w:sz="4" w:space="1" w:color="auto"/>
          <w:left w:val="single" w:sz="4" w:space="4" w:color="auto"/>
          <w:bottom w:val="single" w:sz="4" w:space="1" w:color="auto"/>
          <w:right w:val="single" w:sz="4" w:space="4" w:color="auto"/>
        </w:pBdr>
      </w:pPr>
      <w:r w:rsidRPr="00CD1D69">
        <w:t>2:</w:t>
      </w:r>
      <w:r w:rsidRPr="00CD1D69">
        <w:tab/>
        <w:t xml:space="preserve">RAN2 should aim to specify one unified access barring mechanism for NR that </w:t>
      </w:r>
      <w:r w:rsidRPr="006102C7">
        <w:t>can</w:t>
      </w:r>
      <w:r w:rsidRPr="00186C0F">
        <w:t xml:space="preserve"> </w:t>
      </w:r>
      <w:r w:rsidRPr="006102C7">
        <w:t>address all the use cases and scenarios defined in LTE</w:t>
      </w:r>
      <w:r w:rsidRPr="00186C0F">
        <w:t>.</w:t>
      </w:r>
    </w:p>
    <w:p w14:paraId="5AB27EE4" w14:textId="77777777" w:rsidR="00F142A1" w:rsidRPr="00CD1D69" w:rsidRDefault="00F142A1" w:rsidP="00F142A1">
      <w:pPr>
        <w:pStyle w:val="Doc-text2"/>
        <w:pBdr>
          <w:top w:val="single" w:sz="4" w:space="1" w:color="auto"/>
          <w:left w:val="single" w:sz="4" w:space="4" w:color="auto"/>
          <w:bottom w:val="single" w:sz="4" w:space="1" w:color="auto"/>
          <w:right w:val="single" w:sz="4" w:space="4" w:color="auto"/>
        </w:pBdr>
      </w:pPr>
      <w:r w:rsidRPr="00CD1D69">
        <w:t>3:</w:t>
      </w:r>
      <w:r w:rsidRPr="00CD1D69">
        <w:tab/>
        <w:t>The unified access barring mechanism needs to be forward compatible in order to cope with future use cases/scenarios.</w:t>
      </w:r>
    </w:p>
    <w:p w14:paraId="0CBAD0ED" w14:textId="77777777" w:rsidR="00F142A1" w:rsidRPr="00CD1D69" w:rsidRDefault="00F142A1" w:rsidP="00F142A1">
      <w:pPr>
        <w:pStyle w:val="Doc-text2"/>
        <w:pBdr>
          <w:top w:val="single" w:sz="4" w:space="1" w:color="auto"/>
          <w:left w:val="single" w:sz="4" w:space="4" w:color="auto"/>
          <w:bottom w:val="single" w:sz="4" w:space="1" w:color="auto"/>
          <w:right w:val="single" w:sz="4" w:space="4" w:color="auto"/>
        </w:pBdr>
      </w:pPr>
      <w:r w:rsidRPr="00CD1D69">
        <w:t>4:</w:t>
      </w:r>
      <w:r w:rsidRPr="00CD1D69">
        <w:tab/>
        <w:t>RAN2 should aim to specify an access barring mechanism for NR that is applicable for all RRC states in NR (RRC_IDLE, RRC_CONNECTED and RRC_INACTIVE). [FFS whether it will be possible for the mechanism to be completely common between the states]</w:t>
      </w:r>
    </w:p>
    <w:p w14:paraId="75EDD907" w14:textId="77777777" w:rsidR="00F142A1" w:rsidRPr="00CD1D69" w:rsidRDefault="00F142A1" w:rsidP="00F142A1">
      <w:pPr>
        <w:pStyle w:val="Doc-text2"/>
        <w:pBdr>
          <w:top w:val="single" w:sz="4" w:space="1" w:color="auto"/>
          <w:left w:val="single" w:sz="4" w:space="4" w:color="auto"/>
          <w:bottom w:val="single" w:sz="4" w:space="1" w:color="auto"/>
          <w:right w:val="single" w:sz="4" w:space="4" w:color="auto"/>
        </w:pBdr>
      </w:pPr>
      <w:r w:rsidRPr="00CD1D69">
        <w:t>5</w:t>
      </w:r>
      <w:r w:rsidRPr="00CD1D69">
        <w:tab/>
        <w:t>Study whether it is possible to specify the unified access barring mechanism fully inside the 3GPP WGs.</w:t>
      </w:r>
    </w:p>
    <w:p w14:paraId="5BEFDE2F" w14:textId="77777777" w:rsidR="00186C0F" w:rsidRDefault="00186C0F" w:rsidP="003B6A36">
      <w:pPr>
        <w:pStyle w:val="Doc-text2"/>
        <w:ind w:left="0" w:firstLine="0"/>
      </w:pPr>
    </w:p>
    <w:p w14:paraId="1439B53B" w14:textId="2A318DDF" w:rsidR="003B6A36" w:rsidRPr="00CD1D69" w:rsidRDefault="000E0FDC" w:rsidP="003B6A36">
      <w:pPr>
        <w:pStyle w:val="Doc-text2"/>
        <w:ind w:left="0" w:firstLine="0"/>
      </w:pPr>
      <w:r w:rsidRPr="00CD1D69">
        <w:t xml:space="preserve">In and after RAN2-97 </w:t>
      </w:r>
      <w:r w:rsidR="003B6A36" w:rsidRPr="00CD1D69">
        <w:t>further discussions on Access Control resulted in a</w:t>
      </w:r>
      <w:r w:rsidR="00CD1D69" w:rsidRPr="00CD1D69">
        <w:t xml:space="preserve">n LS </w:t>
      </w:r>
      <w:r w:rsidR="00650C56">
        <w:fldChar w:fldCharType="begin"/>
      </w:r>
      <w:r w:rsidR="00650C56">
        <w:instrText xml:space="preserve"> REF _Ref477963662 \r \h </w:instrText>
      </w:r>
      <w:r w:rsidR="00650C56">
        <w:fldChar w:fldCharType="separate"/>
      </w:r>
      <w:r w:rsidR="00650C56">
        <w:t>[1]</w:t>
      </w:r>
      <w:r w:rsidR="00650C56">
        <w:fldChar w:fldCharType="end"/>
      </w:r>
      <w:r w:rsidR="003B6A36" w:rsidRPr="00CD1D69">
        <w:t xml:space="preserve"> </w:t>
      </w:r>
      <w:r w:rsidR="00CD1D69" w:rsidRPr="00CD1D69">
        <w:t>to CT1 and SA1/2.</w:t>
      </w:r>
    </w:p>
    <w:p w14:paraId="061DC3CF" w14:textId="446FB52D" w:rsidR="00AC0ECA" w:rsidRPr="00CD1D69" w:rsidRDefault="00CD1D69" w:rsidP="003B6A36">
      <w:pPr>
        <w:pStyle w:val="Doc-text2"/>
        <w:ind w:left="0" w:firstLine="0"/>
      </w:pPr>
      <w:r w:rsidRPr="00CD1D69">
        <w:t>In this contribution we outline how a unified barring mechanism may address and realize similar characteristics as already standardized barring functionality, in particular</w:t>
      </w:r>
      <w:r w:rsidR="00024B57">
        <w:t xml:space="preserve"> we address</w:t>
      </w:r>
      <w:r w:rsidRPr="00CD1D69">
        <w:t xml:space="preserve"> ACB, SSAC, Access Control for CSFB, EAB and ACDC. </w:t>
      </w:r>
    </w:p>
    <w:p w14:paraId="621EF62E" w14:textId="2FFB5E40" w:rsidR="001643A8" w:rsidRDefault="004000E8" w:rsidP="00CE0424">
      <w:pPr>
        <w:pStyle w:val="Heading1"/>
      </w:pPr>
      <w:bookmarkStart w:id="1" w:name="_Ref178064866"/>
      <w:r w:rsidRPr="00CE0424">
        <w:t>Discussion</w:t>
      </w:r>
      <w:bookmarkEnd w:id="1"/>
    </w:p>
    <w:p w14:paraId="315041AE" w14:textId="13DB69CE" w:rsidR="00024B57" w:rsidRDefault="00024B57" w:rsidP="009D6302">
      <w:r>
        <w:t>Access Control according to TS 22.011 allow for the possibility to prevent UE’s from making access attempts or responding to pages. T</w:t>
      </w:r>
      <w:r w:rsidR="00F11AB0">
        <w:t xml:space="preserve">he </w:t>
      </w:r>
      <w:r w:rsidR="006102C7">
        <w:t xml:space="preserve">basis for </w:t>
      </w:r>
      <w:r>
        <w:t xml:space="preserve">many </w:t>
      </w:r>
      <w:r w:rsidR="006102C7">
        <w:t>LTE</w:t>
      </w:r>
      <w:r>
        <w:t xml:space="preserve"> access control functionalities is </w:t>
      </w:r>
      <w:r w:rsidR="00F11AB0">
        <w:t>a division of UE</w:t>
      </w:r>
      <w:r>
        <w:t xml:space="preserve">s into allocated popoulations (0-9) and special categories (11-15), so-called access classes. </w:t>
      </w:r>
      <w:r w:rsidR="00F6793B">
        <w:t>(</w:t>
      </w:r>
      <w:r>
        <w:t>Access class 10 is used for emergency calls.</w:t>
      </w:r>
      <w:r w:rsidR="00F6793B">
        <w:t>)</w:t>
      </w:r>
    </w:p>
    <w:p w14:paraId="4817C0E2" w14:textId="7EE6E9B4" w:rsidR="00024B57" w:rsidRDefault="00024B57" w:rsidP="00024B57">
      <w:r>
        <w:tab/>
        <w:t>Class</w:t>
      </w:r>
      <w:r>
        <w:tab/>
        <w:t>15</w:t>
      </w:r>
      <w:r>
        <w:tab/>
        <w:t>-</w:t>
      </w:r>
      <w:r>
        <w:tab/>
        <w:t>PLMN Staff;</w:t>
      </w:r>
      <w:r w:rsidR="00F11AB0">
        <w:t xml:space="preserve"> (</w:t>
      </w:r>
      <w:r w:rsidR="00F11AB0">
        <w:rPr>
          <w:rFonts w:cs="CG Times (WN)"/>
          <w:lang w:eastAsia="ar-SA"/>
        </w:rPr>
        <w:t>Home PLMN only if the EHPLMN list is not present or any EHPLMN)</w:t>
      </w:r>
    </w:p>
    <w:p w14:paraId="524F6AC1" w14:textId="7814CCEF" w:rsidR="00024B57" w:rsidRDefault="00024B57" w:rsidP="00024B57">
      <w:r>
        <w:tab/>
        <w:t xml:space="preserve"> -"-</w:t>
      </w:r>
      <w:r>
        <w:tab/>
        <w:t>14</w:t>
      </w:r>
      <w:r>
        <w:tab/>
        <w:t>-</w:t>
      </w:r>
      <w:r>
        <w:tab/>
        <w:t>Emergency Services;</w:t>
      </w:r>
      <w:r w:rsidR="00F11AB0">
        <w:t xml:space="preserve"> (Home PLMN and visited PLMNs of home country only. For this purpose the home country is defined as the country of the MCC part of the IMSI.)</w:t>
      </w:r>
    </w:p>
    <w:p w14:paraId="4BBF40FC" w14:textId="0E0BD3CF" w:rsidR="00024B57" w:rsidRDefault="00024B57" w:rsidP="00024B57">
      <w:r>
        <w:tab/>
        <w:t xml:space="preserve"> -"-</w:t>
      </w:r>
      <w:r>
        <w:tab/>
        <w:t>13</w:t>
      </w:r>
      <w:r>
        <w:tab/>
        <w:t>-</w:t>
      </w:r>
      <w:r>
        <w:tab/>
        <w:t>Public Utilities (e.g. water/gas suppliers);</w:t>
      </w:r>
      <w:r w:rsidR="00F11AB0">
        <w:t xml:space="preserve"> Home PLMN and visited PLMNs of home country only. For this purpose the home country is defined as the country of the MCC part of the IMSI.</w:t>
      </w:r>
    </w:p>
    <w:p w14:paraId="032CD958" w14:textId="4056BBD4" w:rsidR="00024B57" w:rsidRDefault="00024B57" w:rsidP="00024B57">
      <w:r>
        <w:tab/>
        <w:t xml:space="preserve"> -"-</w:t>
      </w:r>
      <w:r>
        <w:tab/>
        <w:t>12</w:t>
      </w:r>
      <w:r>
        <w:tab/>
        <w:t>-</w:t>
      </w:r>
      <w:r>
        <w:tab/>
        <w:t>Security Services;</w:t>
      </w:r>
      <w:r w:rsidR="00F11AB0">
        <w:t xml:space="preserve"> Home PLMN and visited PLMNs of home country only. For this purpose the home country is defined as the country of the MCC part of the IMSI.</w:t>
      </w:r>
    </w:p>
    <w:p w14:paraId="538A4543" w14:textId="0F75BDFF" w:rsidR="00024B57" w:rsidRDefault="00024B57" w:rsidP="00024B57">
      <w:r>
        <w:tab/>
        <w:t xml:space="preserve"> -"-</w:t>
      </w:r>
      <w:r>
        <w:tab/>
        <w:t>11</w:t>
      </w:r>
      <w:r>
        <w:tab/>
        <w:t>-</w:t>
      </w:r>
      <w:r>
        <w:tab/>
        <w:t>For PLMN Use.</w:t>
      </w:r>
      <w:r w:rsidR="00F11AB0">
        <w:t>(</w:t>
      </w:r>
      <w:r w:rsidR="00F11AB0" w:rsidRPr="00F11AB0">
        <w:rPr>
          <w:rFonts w:cs="CG Times (WN)"/>
          <w:lang w:eastAsia="ar-SA"/>
        </w:rPr>
        <w:t xml:space="preserve"> </w:t>
      </w:r>
      <w:r w:rsidR="00F11AB0">
        <w:rPr>
          <w:rFonts w:cs="CG Times (WN)"/>
          <w:lang w:eastAsia="ar-SA"/>
        </w:rPr>
        <w:t>Home PLMN only if the EHPLMN list is not present or any EHPLMN)</w:t>
      </w:r>
    </w:p>
    <w:p w14:paraId="3445E72E" w14:textId="21F0CA19" w:rsidR="00F11AB0" w:rsidRDefault="00F11AB0" w:rsidP="00024B57">
      <w:r>
        <w:tab/>
        <w:t>-“-</w:t>
      </w:r>
      <w:r>
        <w:tab/>
        <w:t>0-9</w:t>
      </w:r>
      <w:r>
        <w:tab/>
      </w:r>
      <w:r>
        <w:tab/>
        <w:t>Home and Visited PLMNs</w:t>
      </w:r>
    </w:p>
    <w:p w14:paraId="168BDF44" w14:textId="3A9A620C" w:rsidR="00024B57" w:rsidRDefault="00F11AB0" w:rsidP="006102C7">
      <w:r>
        <w:t xml:space="preserve">These classes are stored on the SIM/USIM. </w:t>
      </w:r>
    </w:p>
    <w:p w14:paraId="69E291C8" w14:textId="100C504D" w:rsidR="00B60759" w:rsidRDefault="00B60759" w:rsidP="005B76E7">
      <w:pPr>
        <w:pStyle w:val="Heading2"/>
      </w:pPr>
      <w:bookmarkStart w:id="2" w:name="_Toc477499711"/>
      <w:r>
        <w:lastRenderedPageBreak/>
        <w:t>Access Control mechanisms for LTE</w:t>
      </w:r>
    </w:p>
    <w:p w14:paraId="0F00EED3" w14:textId="72FCDE21" w:rsidR="00024B57" w:rsidRDefault="00024B57" w:rsidP="00B60759">
      <w:pPr>
        <w:pStyle w:val="Heading3"/>
      </w:pPr>
      <w:r w:rsidRPr="007A64ED">
        <w:t>Access Class Barring</w:t>
      </w:r>
      <w:bookmarkEnd w:id="2"/>
      <w:r w:rsidR="00F11AB0">
        <w:t>, ACB</w:t>
      </w:r>
    </w:p>
    <w:p w14:paraId="03403034" w14:textId="75AC8C06" w:rsidR="00F11AB0" w:rsidRDefault="00186C0F" w:rsidP="00F11AB0">
      <w:r>
        <w:t>Based on the above, i</w:t>
      </w:r>
      <w:r w:rsidR="00F11AB0">
        <w:t>f a UE is a member of at least one Access Class which corresponds to a permitted class as signalled over the air interface, access attempts are allowed. Any number of these classes may be barred at any one time.</w:t>
      </w:r>
    </w:p>
    <w:p w14:paraId="5085E214" w14:textId="122803FB" w:rsidR="00F11AB0" w:rsidRDefault="00F11AB0" w:rsidP="00F11AB0">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242D6BAC" w14:textId="1DF289DA" w:rsidR="00F11AB0" w:rsidRDefault="00F11AB0" w:rsidP="00F11AB0">
      <w:r>
        <w:t>Among further requirements for E-UTRAN, we particularly find</w:t>
      </w:r>
      <w:r w:rsidR="00557000">
        <w:t xml:space="preserve"> (not a complete list from 22.011)</w:t>
      </w:r>
      <w:r>
        <w:t xml:space="preserve">: </w:t>
      </w:r>
    </w:p>
    <w:p w14:paraId="78FE5B9C" w14:textId="49D0F07E" w:rsidR="00F11AB0" w:rsidRPr="0042375D" w:rsidRDefault="00F11AB0" w:rsidP="00F11AB0">
      <w:pPr>
        <w:pStyle w:val="B1"/>
        <w:rPr>
          <w:noProof/>
          <w:lang w:eastAsia="ja-JP"/>
        </w:rPr>
      </w:pPr>
      <w:r w:rsidRPr="006308B9">
        <w:rPr>
          <w:lang w:eastAsia="ko-KR"/>
        </w:rPr>
        <w:t>-</w:t>
      </w:r>
      <w:r>
        <w:rPr>
          <w:lang w:eastAsia="ko-KR"/>
        </w:rPr>
        <w:t xml:space="preserve"> </w:t>
      </w:r>
      <w:r>
        <w:rPr>
          <w:lang w:eastAsia="ko-KR"/>
        </w:rPr>
        <w:tab/>
      </w:r>
      <w:r>
        <w:rPr>
          <w:noProof/>
          <w:lang w:eastAsia="ja-JP"/>
        </w:rPr>
        <w:t xml:space="preserve">The serving network shall be able to broadcast </w:t>
      </w:r>
      <w:r w:rsidRPr="007311D5">
        <w:rPr>
          <w:noProof/>
          <w:lang w:eastAsia="ja-JP"/>
        </w:rPr>
        <w:t xml:space="preserve">mean </w:t>
      </w:r>
      <w:r>
        <w:rPr>
          <w:noProof/>
          <w:lang w:eastAsia="ja-JP"/>
        </w:rPr>
        <w:t>durations of access control and barring rates (e.g. percentage value) that commonly applied to Access Classes 0-9 to the UE.</w:t>
      </w:r>
    </w:p>
    <w:p w14:paraId="510D6A7B" w14:textId="77777777" w:rsidR="00F11AB0" w:rsidRDefault="00F11AB0" w:rsidP="00F11AB0">
      <w:pPr>
        <w:pStyle w:val="B1"/>
        <w:rPr>
          <w:lang w:eastAsia="ja-JP"/>
        </w:rPr>
      </w:pPr>
      <w:r w:rsidRPr="007311D5">
        <w:rPr>
          <w:lang w:eastAsia="ko-KR"/>
        </w:rPr>
        <w:t xml:space="preserve">- </w:t>
      </w:r>
      <w:r w:rsidRPr="007311D5">
        <w:rPr>
          <w:lang w:eastAsia="ko-KR"/>
        </w:rPr>
        <w:tab/>
      </w:r>
      <w:r w:rsidRPr="007311D5">
        <w:rPr>
          <w:lang w:eastAsia="ja-JP"/>
        </w:rPr>
        <w:t>E-UTRAN</w:t>
      </w:r>
      <w:r w:rsidRPr="007311D5" w:rsidDel="00AA0B2D">
        <w:rPr>
          <w:lang w:eastAsia="ko-KR"/>
        </w:rPr>
        <w:t xml:space="preserve"> </w:t>
      </w:r>
      <w:r w:rsidRPr="007311D5">
        <w:rPr>
          <w:lang w:eastAsia="ko-KR"/>
        </w:rPr>
        <w:t xml:space="preserve">shall be able to support access control based </w:t>
      </w:r>
      <w:r>
        <w:rPr>
          <w:lang w:eastAsia="ko-KR"/>
        </w:rPr>
        <w:t xml:space="preserve">on the type of </w:t>
      </w:r>
      <w:r w:rsidRPr="007311D5">
        <w:rPr>
          <w:lang w:eastAsia="ko-KR"/>
        </w:rPr>
        <w:t>access attempt (</w:t>
      </w:r>
      <w:r>
        <w:rPr>
          <w:lang w:eastAsia="ja-JP"/>
        </w:rPr>
        <w:t>i.</w:t>
      </w:r>
      <w:r>
        <w:rPr>
          <w:lang w:eastAsia="ko-KR"/>
        </w:rPr>
        <w:t xml:space="preserve">e. </w:t>
      </w:r>
      <w:r w:rsidRPr="007311D5">
        <w:rPr>
          <w:lang w:eastAsia="ko-KR"/>
        </w:rPr>
        <w:t>mobile originating</w:t>
      </w:r>
      <w:r>
        <w:rPr>
          <w:lang w:eastAsia="ko-KR"/>
        </w:rPr>
        <w:t xml:space="preserve"> data or mobile originat</w:t>
      </w:r>
      <w:r>
        <w:rPr>
          <w:lang w:eastAsia="ja-JP"/>
        </w:rPr>
        <w:t>ing</w:t>
      </w:r>
      <w:r>
        <w:rPr>
          <w:lang w:eastAsia="ko-KR"/>
        </w:rPr>
        <w:t xml:space="preserve"> signalling</w:t>
      </w:r>
      <w:r w:rsidRPr="007311D5">
        <w:rPr>
          <w:lang w:eastAsia="ko-KR"/>
        </w:rPr>
        <w:t>), in which indication</w:t>
      </w:r>
      <w:r>
        <w:rPr>
          <w:lang w:eastAsia="ja-JP"/>
        </w:rPr>
        <w:t>s</w:t>
      </w:r>
      <w:r w:rsidRPr="007311D5">
        <w:rPr>
          <w:lang w:eastAsia="ko-KR"/>
        </w:rPr>
        <w:t xml:space="preserve"> to the UE</w:t>
      </w:r>
      <w:r>
        <w:rPr>
          <w:lang w:eastAsia="ja-JP"/>
        </w:rPr>
        <w:t>s</w:t>
      </w:r>
      <w:r w:rsidRPr="007311D5">
        <w:rPr>
          <w:lang w:eastAsia="ko-KR"/>
        </w:rPr>
        <w:t xml:space="preserve"> </w:t>
      </w:r>
      <w:r>
        <w:rPr>
          <w:lang w:eastAsia="ja-JP"/>
        </w:rPr>
        <w:t>are</w:t>
      </w:r>
      <w:r w:rsidRPr="007311D5">
        <w:rPr>
          <w:lang w:eastAsia="ko-KR"/>
        </w:rPr>
        <w:t xml:space="preserve"> </w:t>
      </w:r>
      <w:r w:rsidRPr="007311D5">
        <w:rPr>
          <w:lang w:eastAsia="ja-JP"/>
        </w:rPr>
        <w:t>broadcasted</w:t>
      </w:r>
      <w:r w:rsidRPr="007311D5">
        <w:rPr>
          <w:lang w:eastAsia="ko-KR"/>
        </w:rPr>
        <w:t xml:space="preserve"> to guide the behaviour of UE. </w:t>
      </w:r>
      <w:r w:rsidRPr="007311D5">
        <w:rPr>
          <w:lang w:eastAsia="ja-JP"/>
        </w:rPr>
        <w:t>E-UTRAN</w:t>
      </w:r>
      <w:r w:rsidRPr="007311D5" w:rsidDel="00AA0B2D">
        <w:rPr>
          <w:lang w:eastAsia="ko-KR"/>
        </w:rPr>
        <w:t xml:space="preserve"> </w:t>
      </w:r>
      <w:r w:rsidRPr="007311D5">
        <w:rPr>
          <w:lang w:eastAsia="ko-KR"/>
        </w:rPr>
        <w:t>shall be able to form combination</w:t>
      </w:r>
      <w:r>
        <w:rPr>
          <w:lang w:eastAsia="ja-JP"/>
        </w:rPr>
        <w:t>s</w:t>
      </w:r>
      <w:r w:rsidRPr="007311D5">
        <w:rPr>
          <w:lang w:eastAsia="ko-KR"/>
        </w:rPr>
        <w:t xml:space="preserve"> of</w:t>
      </w:r>
      <w:r>
        <w:rPr>
          <w:lang w:eastAsia="ja-JP"/>
        </w:rPr>
        <w:t xml:space="preserve"> </w:t>
      </w:r>
      <w:r>
        <w:rPr>
          <w:lang w:eastAsia="ko-KR"/>
        </w:rPr>
        <w:t xml:space="preserve">access control based on </w:t>
      </w:r>
      <w:r>
        <w:rPr>
          <w:lang w:eastAsia="ja-JP"/>
        </w:rPr>
        <w:t xml:space="preserve">the type of access attempt </w:t>
      </w:r>
      <w:r w:rsidRPr="007311D5">
        <w:rPr>
          <w:lang w:eastAsia="ko-KR"/>
        </w:rPr>
        <w:t>e.g. mobile originating and mobile terminating, mobile originating, or location registration.</w:t>
      </w:r>
      <w:r>
        <w:rPr>
          <w:lang w:eastAsia="ja-JP"/>
        </w:rPr>
        <w:t xml:space="preserve"> </w:t>
      </w:r>
      <w:r w:rsidRPr="007311D5">
        <w:rPr>
          <w:lang w:eastAsia="ja-JP"/>
        </w:rPr>
        <w:t xml:space="preserve">The </w:t>
      </w:r>
      <w:r>
        <w:rPr>
          <w:lang w:eastAsia="ja-JP"/>
        </w:rPr>
        <w:t>‘</w:t>
      </w:r>
      <w:r w:rsidRPr="007311D5">
        <w:rPr>
          <w:lang w:eastAsia="ja-JP"/>
        </w:rPr>
        <w:t>mean duration of access control</w:t>
      </w:r>
      <w:r>
        <w:rPr>
          <w:lang w:eastAsia="ja-JP"/>
        </w:rPr>
        <w:t>’</w:t>
      </w:r>
      <w:r w:rsidRPr="007311D5">
        <w:rPr>
          <w:lang w:eastAsia="ja-JP"/>
        </w:rPr>
        <w:t xml:space="preserve"> and the barring rate </w:t>
      </w:r>
      <w:r>
        <w:rPr>
          <w:lang w:eastAsia="ja-JP"/>
        </w:rPr>
        <w:t>are broadcasted</w:t>
      </w:r>
      <w:r w:rsidRPr="007311D5">
        <w:rPr>
          <w:lang w:eastAsia="ja-JP"/>
        </w:rPr>
        <w:t xml:space="preserve"> for each </w:t>
      </w:r>
      <w:r>
        <w:rPr>
          <w:lang w:eastAsia="ja-JP"/>
        </w:rPr>
        <w:t xml:space="preserve">type of access attempt </w:t>
      </w:r>
      <w:r w:rsidRPr="007311D5">
        <w:rPr>
          <w:lang w:eastAsia="ja-JP"/>
        </w:rPr>
        <w:t>(</w:t>
      </w:r>
      <w:r>
        <w:rPr>
          <w:lang w:eastAsia="ja-JP"/>
        </w:rPr>
        <w:t xml:space="preserve">i.e. </w:t>
      </w:r>
      <w:r w:rsidRPr="007311D5">
        <w:rPr>
          <w:lang w:eastAsia="ja-JP"/>
        </w:rPr>
        <w:t xml:space="preserve">mobile originating </w:t>
      </w:r>
      <w:r>
        <w:rPr>
          <w:lang w:eastAsia="ja-JP"/>
        </w:rPr>
        <w:t>data or mobile originating signalling</w:t>
      </w:r>
      <w:r w:rsidRPr="007311D5">
        <w:rPr>
          <w:lang w:eastAsia="ja-JP"/>
        </w:rPr>
        <w:t>).</w:t>
      </w:r>
    </w:p>
    <w:p w14:paraId="394EDB7E" w14:textId="20B901B1" w:rsidR="00F11AB0" w:rsidRDefault="00F11AB0" w:rsidP="00F11AB0">
      <w:pPr>
        <w:pStyle w:val="B1"/>
        <w:rPr>
          <w:noProof/>
          <w:lang w:eastAsia="ja-JP"/>
        </w:rPr>
      </w:pPr>
      <w:r w:rsidRPr="006308B9">
        <w:rPr>
          <w:lang w:eastAsia="ko-KR"/>
        </w:rPr>
        <w:t>-</w:t>
      </w:r>
      <w:r>
        <w:rPr>
          <w:lang w:eastAsia="ko-KR"/>
        </w:rPr>
        <w:t xml:space="preserve"> </w:t>
      </w:r>
      <w:r>
        <w:rPr>
          <w:lang w:eastAsia="ko-KR"/>
        </w:rPr>
        <w:tab/>
      </w:r>
      <w:r w:rsidRPr="00617E1F">
        <w:rPr>
          <w:noProof/>
          <w:lang w:eastAsia="ja-JP"/>
        </w:rPr>
        <w:t>The serving network shall be able to indicate whether or not a UE shall apply Access Class Barring for SMS access attempts in SMS over SGs, SMS over IMS (SMS over IP), and SMS over S102.</w:t>
      </w:r>
      <w:r>
        <w:rPr>
          <w:noProof/>
          <w:lang w:eastAsia="ja-JP"/>
        </w:rPr>
        <w:t xml:space="preserve"> </w:t>
      </w:r>
      <w:r w:rsidRPr="00617E1F">
        <w:rPr>
          <w:noProof/>
          <w:lang w:eastAsia="ja-JP"/>
        </w:rPr>
        <w:t>This indication is valid for Access Classes 0-9 and 11-15.</w:t>
      </w:r>
    </w:p>
    <w:p w14:paraId="21474645" w14:textId="77777777" w:rsidR="00F11AB0" w:rsidRDefault="00F11AB0" w:rsidP="00F11AB0">
      <w:pPr>
        <w:pStyle w:val="B1"/>
        <w:rPr>
          <w:noProof/>
          <w:lang w:eastAsia="ja-JP"/>
        </w:rPr>
      </w:pPr>
      <w:r>
        <w:rPr>
          <w:noProof/>
          <w:lang w:eastAsia="ja-JP"/>
        </w:rPr>
        <w:t>-</w:t>
      </w:r>
      <w:r>
        <w:rPr>
          <w:noProof/>
          <w:lang w:eastAsia="ja-JP"/>
        </w:rPr>
        <w:tab/>
        <w:t>The serving network shall be able to indicate whether or not a UE shall apply Access Class Barring for MMTEL voice access attempts. This indication is valid for Access Classes 0-9 and 11-15.</w:t>
      </w:r>
    </w:p>
    <w:p w14:paraId="465F8235" w14:textId="2EB32703" w:rsidR="00F11AB0" w:rsidRDefault="00F11AB0" w:rsidP="00F11AB0">
      <w:pPr>
        <w:pStyle w:val="B1"/>
        <w:rPr>
          <w:noProof/>
          <w:lang w:eastAsia="ja-JP"/>
        </w:rPr>
      </w:pPr>
      <w:r>
        <w:rPr>
          <w:noProof/>
          <w:lang w:eastAsia="ja-JP"/>
        </w:rPr>
        <w:t>-</w:t>
      </w:r>
      <w:r>
        <w:rPr>
          <w:noProof/>
          <w:lang w:eastAsia="ja-JP"/>
        </w:rPr>
        <w:tab/>
        <w:t>The serving network shall be able to indicate whether or not a UE shall apply Access Class Barring for MMTEL video access attempts. This indication is valid for Access Classes 0-9 and 11-15.</w:t>
      </w:r>
    </w:p>
    <w:p w14:paraId="29EC5F34" w14:textId="630053AF" w:rsidR="00557000" w:rsidRDefault="00557000" w:rsidP="006102C7">
      <w:pPr>
        <w:pStyle w:val="B1"/>
        <w:ind w:left="0" w:firstLine="0"/>
        <w:rPr>
          <w:noProof/>
          <w:lang w:eastAsia="ja-JP"/>
        </w:rPr>
      </w:pPr>
      <w:r>
        <w:rPr>
          <w:noProof/>
          <w:lang w:eastAsia="ja-JP"/>
        </w:rPr>
        <w:t xml:space="preserve">We introduce </w:t>
      </w:r>
      <w:r w:rsidRPr="006102C7">
        <w:rPr>
          <w:i/>
          <w:noProof/>
          <w:lang w:eastAsia="ja-JP"/>
        </w:rPr>
        <w:t>“UBM”</w:t>
      </w:r>
      <w:r>
        <w:rPr>
          <w:noProof/>
          <w:lang w:eastAsia="ja-JP"/>
        </w:rPr>
        <w:t xml:space="preserve"> as an abbreviation of Unified Barring Mechanism and “</w:t>
      </w:r>
      <w:r w:rsidRPr="006102C7">
        <w:rPr>
          <w:i/>
          <w:noProof/>
          <w:lang w:eastAsia="ja-JP"/>
        </w:rPr>
        <w:t>UBMCat</w:t>
      </w:r>
      <w:r>
        <w:rPr>
          <w:i/>
          <w:noProof/>
          <w:lang w:eastAsia="ja-JP"/>
        </w:rPr>
        <w:t>”</w:t>
      </w:r>
      <w:r>
        <w:rPr>
          <w:noProof/>
          <w:lang w:eastAsia="ja-JP"/>
        </w:rPr>
        <w:t xml:space="preserve"> to denote a unified barring category.</w:t>
      </w:r>
    </w:p>
    <w:p w14:paraId="1E975970" w14:textId="623C0EA0" w:rsidR="00557000" w:rsidRDefault="00557000" w:rsidP="006102C7">
      <w:pPr>
        <w:pStyle w:val="B1"/>
        <w:ind w:left="0" w:firstLine="0"/>
        <w:rPr>
          <w:noProof/>
          <w:lang w:eastAsia="ja-JP"/>
        </w:rPr>
      </w:pPr>
      <w:r>
        <w:rPr>
          <w:noProof/>
          <w:lang w:eastAsia="ja-JP"/>
        </w:rPr>
        <w:t xml:space="preserve">We think that UBM </w:t>
      </w:r>
      <w:r w:rsidR="00E37A11">
        <w:rPr>
          <w:noProof/>
          <w:lang w:eastAsia="ja-JP"/>
        </w:rPr>
        <w:t>can</w:t>
      </w:r>
      <w:r w:rsidR="00F96D49">
        <w:rPr>
          <w:noProof/>
          <w:lang w:eastAsia="ja-JP"/>
        </w:rPr>
        <w:t xml:space="preserve"> </w:t>
      </w:r>
      <w:r>
        <w:rPr>
          <w:noProof/>
          <w:lang w:eastAsia="ja-JP"/>
        </w:rPr>
        <w:t xml:space="preserve">take the </w:t>
      </w:r>
      <w:r w:rsidR="00B537C0">
        <w:rPr>
          <w:noProof/>
          <w:lang w:eastAsia="ja-JP"/>
        </w:rPr>
        <w:t xml:space="preserve">Rel.14 </w:t>
      </w:r>
      <w:r>
        <w:rPr>
          <w:noProof/>
          <w:lang w:eastAsia="ja-JP"/>
        </w:rPr>
        <w:t xml:space="preserve">access classess according to the above into consideration when determining a UBMCat to map to a certain access trigger or event. </w:t>
      </w:r>
    </w:p>
    <w:p w14:paraId="755D834C" w14:textId="6D500B01" w:rsidR="00557000" w:rsidRDefault="00557000" w:rsidP="006102C7">
      <w:pPr>
        <w:pStyle w:val="B1"/>
        <w:ind w:left="0" w:firstLine="0"/>
        <w:rPr>
          <w:noProof/>
          <w:lang w:eastAsia="ja-JP"/>
        </w:rPr>
      </w:pPr>
      <w:r>
        <w:rPr>
          <w:noProof/>
          <w:lang w:eastAsia="ja-JP"/>
        </w:rPr>
        <w:t xml:space="preserve">For SIM/USIM backwards compatibility purposes we also believe that an NR capable UE </w:t>
      </w:r>
      <w:r w:rsidR="00E37A11">
        <w:rPr>
          <w:noProof/>
          <w:lang w:eastAsia="ja-JP"/>
        </w:rPr>
        <w:t>can</w:t>
      </w:r>
      <w:r>
        <w:rPr>
          <w:noProof/>
          <w:lang w:eastAsia="ja-JP"/>
        </w:rPr>
        <w:t xml:space="preserve"> map these </w:t>
      </w:r>
      <w:r w:rsidR="00220906">
        <w:rPr>
          <w:noProof/>
          <w:lang w:eastAsia="ja-JP"/>
        </w:rPr>
        <w:t>classes</w:t>
      </w:r>
      <w:r>
        <w:rPr>
          <w:noProof/>
          <w:lang w:eastAsia="ja-JP"/>
        </w:rPr>
        <w:t xml:space="preserve"> to a UBMCat, e.g.; according to</w:t>
      </w:r>
      <w:r w:rsidR="00650C56">
        <w:rPr>
          <w:noProof/>
          <w:lang w:eastAsia="ja-JP"/>
        </w:rPr>
        <w:t>;</w:t>
      </w:r>
    </w:p>
    <w:p w14:paraId="200270E6" w14:textId="2F99AE95" w:rsidR="00557000" w:rsidRDefault="00557000" w:rsidP="006102C7">
      <w:pPr>
        <w:pStyle w:val="B1"/>
        <w:ind w:left="0" w:firstLine="0"/>
        <w:rPr>
          <w:noProof/>
          <w:lang w:eastAsia="ja-JP"/>
        </w:rPr>
      </w:pPr>
      <w:r>
        <w:rPr>
          <w:noProof/>
          <w:lang w:eastAsia="ja-JP"/>
        </w:rPr>
        <w:t xml:space="preserve">UBMCat= f (…, </w:t>
      </w:r>
      <w:r w:rsidRPr="006102C7">
        <w:rPr>
          <w:b/>
          <w:noProof/>
          <w:lang w:eastAsia="ja-JP"/>
        </w:rPr>
        <w:t>AccessClass=</w:t>
      </w:r>
      <w:r w:rsidR="00EA320E">
        <w:rPr>
          <w:b/>
          <w:noProof/>
          <w:lang w:eastAsia="ja-JP"/>
        </w:rPr>
        <w:t>nn</w:t>
      </w:r>
      <w:r w:rsidRPr="006102C7">
        <w:rPr>
          <w:b/>
          <w:noProof/>
          <w:lang w:eastAsia="ja-JP"/>
        </w:rPr>
        <w:t>,</w:t>
      </w:r>
      <w:r>
        <w:rPr>
          <w:noProof/>
          <w:lang w:eastAsia="ja-JP"/>
        </w:rPr>
        <w:t xml:space="preserve"> …)</w:t>
      </w:r>
    </w:p>
    <w:p w14:paraId="3A083F0B" w14:textId="5C35B0FE" w:rsidR="00557000" w:rsidRDefault="00557000" w:rsidP="006102C7">
      <w:pPr>
        <w:pStyle w:val="B1"/>
        <w:ind w:left="0" w:firstLine="0"/>
        <w:rPr>
          <w:noProof/>
          <w:lang w:eastAsia="ja-JP"/>
        </w:rPr>
      </w:pPr>
      <w:r>
        <w:rPr>
          <w:noProof/>
          <w:lang w:eastAsia="ja-JP"/>
        </w:rPr>
        <w:t xml:space="preserve">Among other </w:t>
      </w:r>
      <w:r w:rsidR="00B537C0">
        <w:rPr>
          <w:noProof/>
          <w:lang w:eastAsia="ja-JP"/>
        </w:rPr>
        <w:t>Rel.14</w:t>
      </w:r>
      <w:r>
        <w:rPr>
          <w:noProof/>
          <w:lang w:eastAsia="ja-JP"/>
        </w:rPr>
        <w:t xml:space="preserve"> requirements we consider that</w:t>
      </w:r>
      <w:r w:rsidR="008015A4">
        <w:rPr>
          <w:noProof/>
          <w:lang w:eastAsia="ja-JP"/>
        </w:rPr>
        <w:t xml:space="preserve"> when determining how a certain event should be mapped to an access category, several aspects can be considered. E.g.,; </w:t>
      </w:r>
    </w:p>
    <w:p w14:paraId="1C9C5495" w14:textId="7ABD266B" w:rsidR="00557000" w:rsidRDefault="00557000" w:rsidP="006102C7">
      <w:pPr>
        <w:pStyle w:val="B1"/>
        <w:ind w:left="0" w:firstLine="0"/>
        <w:rPr>
          <w:noProof/>
          <w:lang w:eastAsia="ja-JP"/>
        </w:rPr>
      </w:pPr>
      <w:r>
        <w:rPr>
          <w:noProof/>
          <w:lang w:eastAsia="ja-JP"/>
        </w:rPr>
        <w:t>UBMCat= f(…, AccessClass=</w:t>
      </w:r>
      <w:r w:rsidR="008015A4">
        <w:rPr>
          <w:noProof/>
          <w:lang w:eastAsia="ja-JP"/>
        </w:rPr>
        <w:t>nn</w:t>
      </w:r>
      <w:r>
        <w:rPr>
          <w:noProof/>
          <w:lang w:eastAsia="ja-JP"/>
        </w:rPr>
        <w:t xml:space="preserve">, </w:t>
      </w:r>
      <w:r w:rsidRPr="006102C7">
        <w:rPr>
          <w:b/>
          <w:noProof/>
          <w:lang w:eastAsia="ja-JP"/>
        </w:rPr>
        <w:t xml:space="preserve">CN=NG, </w:t>
      </w:r>
      <w:r w:rsidR="008015A4" w:rsidRPr="006102C7">
        <w:rPr>
          <w:b/>
          <w:noProof/>
          <w:lang w:eastAsia="ja-JP"/>
        </w:rPr>
        <w:t>EstablishmentCause=mo, Service=ServiceID,…</w:t>
      </w:r>
      <w:r w:rsidR="008015A4">
        <w:rPr>
          <w:noProof/>
          <w:lang w:eastAsia="ja-JP"/>
        </w:rPr>
        <w:t xml:space="preserve"> )</w:t>
      </w:r>
    </w:p>
    <w:p w14:paraId="4577DF2A" w14:textId="62B1C52E" w:rsidR="008015A4" w:rsidRDefault="00186C0F" w:rsidP="006102C7">
      <w:pPr>
        <w:pStyle w:val="B1"/>
        <w:ind w:left="0" w:firstLine="0"/>
        <w:rPr>
          <w:noProof/>
          <w:lang w:eastAsia="ja-JP"/>
        </w:rPr>
      </w:pPr>
      <w:r>
        <w:rPr>
          <w:noProof/>
          <w:lang w:eastAsia="ja-JP"/>
        </w:rPr>
        <w:t>In this example, we consider Service be</w:t>
      </w:r>
      <w:r w:rsidR="006102C7">
        <w:rPr>
          <w:noProof/>
          <w:lang w:eastAsia="ja-JP"/>
        </w:rPr>
        <w:t xml:space="preserve">, e.g., </w:t>
      </w:r>
      <w:r>
        <w:rPr>
          <w:noProof/>
          <w:lang w:eastAsia="ja-JP"/>
        </w:rPr>
        <w:t>variants of SMS or MMTEL.</w:t>
      </w:r>
    </w:p>
    <w:p w14:paraId="3060558D" w14:textId="2053C109" w:rsidR="008015A4" w:rsidRDefault="00650C56" w:rsidP="008015A4">
      <w:pPr>
        <w:pStyle w:val="Observation"/>
      </w:pPr>
      <w:bookmarkStart w:id="3" w:name="_Toc477960829"/>
      <w:bookmarkStart w:id="4" w:name="_Toc477961210"/>
      <w:bookmarkStart w:id="5" w:name="_Toc478107209"/>
      <w:bookmarkStart w:id="6" w:name="_Toc478117682"/>
      <w:bookmarkStart w:id="7" w:name="_Toc478117784"/>
      <w:bookmarkStart w:id="8" w:name="_Toc478134869"/>
      <w:bookmarkStart w:id="9" w:name="_Toc478135009"/>
      <w:bookmarkStart w:id="10" w:name="_Toc478164401"/>
      <w:bookmarkStart w:id="11" w:name="_Toc481793669"/>
      <w:bookmarkStart w:id="12" w:name="_Toc481793934"/>
      <w:r>
        <w:t>To preserve characteristics of a</w:t>
      </w:r>
      <w:r w:rsidR="008015A4">
        <w:t xml:space="preserve">ccess class barring, determination of unified access category </w:t>
      </w:r>
      <w:r w:rsidR="00E37A11">
        <w:t>can</w:t>
      </w:r>
      <w:r w:rsidR="008015A4">
        <w:t xml:space="preserve"> include access class as possible input</w:t>
      </w:r>
      <w:bookmarkEnd w:id="3"/>
      <w:bookmarkEnd w:id="4"/>
      <w:bookmarkEnd w:id="5"/>
      <w:bookmarkEnd w:id="6"/>
      <w:bookmarkEnd w:id="7"/>
      <w:bookmarkEnd w:id="8"/>
      <w:bookmarkEnd w:id="9"/>
      <w:bookmarkEnd w:id="10"/>
      <w:bookmarkEnd w:id="11"/>
      <w:bookmarkEnd w:id="12"/>
    </w:p>
    <w:p w14:paraId="217947A0" w14:textId="1F3FBB0D" w:rsidR="008015A4" w:rsidRDefault="008015A4" w:rsidP="008015A4">
      <w:pPr>
        <w:pStyle w:val="Observation"/>
      </w:pPr>
      <w:bookmarkStart w:id="13" w:name="_Toc477960830"/>
      <w:bookmarkStart w:id="14" w:name="_Toc477961211"/>
      <w:bookmarkStart w:id="15" w:name="_Toc478107210"/>
      <w:bookmarkStart w:id="16" w:name="_Toc478117683"/>
      <w:bookmarkStart w:id="17" w:name="_Toc478117785"/>
      <w:bookmarkStart w:id="18" w:name="_Toc478134870"/>
      <w:bookmarkStart w:id="19" w:name="_Toc478135010"/>
      <w:bookmarkStart w:id="20" w:name="_Toc478164402"/>
      <w:bookmarkStart w:id="21" w:name="_Toc481793670"/>
      <w:bookmarkStart w:id="22" w:name="_Toc481793935"/>
      <w:r>
        <w:t xml:space="preserve">To preserve characteristics of access class barring, determination of unified access category </w:t>
      </w:r>
      <w:r w:rsidR="00E37A11">
        <w:t>can</w:t>
      </w:r>
      <w:r>
        <w:t xml:space="preserve"> include CN, Establishment Cause and Service as possible input</w:t>
      </w:r>
      <w:bookmarkEnd w:id="13"/>
      <w:bookmarkEnd w:id="14"/>
      <w:bookmarkEnd w:id="15"/>
      <w:bookmarkEnd w:id="16"/>
      <w:bookmarkEnd w:id="17"/>
      <w:bookmarkEnd w:id="18"/>
      <w:bookmarkEnd w:id="19"/>
      <w:bookmarkEnd w:id="20"/>
      <w:bookmarkEnd w:id="21"/>
      <w:bookmarkEnd w:id="22"/>
    </w:p>
    <w:p w14:paraId="2A0183B9" w14:textId="77777777" w:rsidR="008015A4" w:rsidRDefault="008015A4" w:rsidP="006102C7">
      <w:pPr>
        <w:pStyle w:val="BodyText"/>
      </w:pPr>
    </w:p>
    <w:p w14:paraId="437677B7" w14:textId="6321FD5B" w:rsidR="008015A4" w:rsidRDefault="008015A4" w:rsidP="00B60759">
      <w:pPr>
        <w:pStyle w:val="Heading3"/>
      </w:pPr>
      <w:r>
        <w:t>Extended Access Barring</w:t>
      </w:r>
    </w:p>
    <w:p w14:paraId="5527149E" w14:textId="023ECE9B" w:rsidR="008015A4" w:rsidRDefault="008015A4" w:rsidP="008015A4">
      <w:r>
        <w:t>Extended access barring was introduced in connection to MTC to allow separate control of access for MTC for access classes from the Access Class Barring mechanism. With EAB, it is possible to selectively control access from UE’s configured for EAB. It is particularly used for UE’s more tolerant to access restrictions.</w:t>
      </w:r>
    </w:p>
    <w:p w14:paraId="574ED5BA" w14:textId="60C53284" w:rsidR="008015A4" w:rsidRDefault="008015A4" w:rsidP="008015A4">
      <w:r>
        <w:t>We believe that there are several ways to classify</w:t>
      </w:r>
      <w:r w:rsidR="00EA320E">
        <w:t xml:space="preserve">, e.g., </w:t>
      </w:r>
      <w:r>
        <w:t>MTC-initiated events, such as combinations of call types and device or subscription information.</w:t>
      </w:r>
      <w:r w:rsidR="00EA320E">
        <w:t xml:space="preserve"> E.g., </w:t>
      </w:r>
    </w:p>
    <w:p w14:paraId="014876AC" w14:textId="3C451F68" w:rsidR="00EA320E" w:rsidRDefault="00EA320E" w:rsidP="00EA320E">
      <w:pPr>
        <w:pStyle w:val="B1"/>
        <w:ind w:left="0" w:firstLine="0"/>
        <w:rPr>
          <w:noProof/>
          <w:lang w:eastAsia="ja-JP"/>
        </w:rPr>
      </w:pPr>
      <w:r>
        <w:rPr>
          <w:noProof/>
          <w:lang w:eastAsia="ja-JP"/>
        </w:rPr>
        <w:lastRenderedPageBreak/>
        <w:t xml:space="preserve">UBMCat= f(…, AccessClass=nn, CN=NG, EstablishmentCause=mo, Service=ServiceID, </w:t>
      </w:r>
      <w:r w:rsidRPr="006102C7">
        <w:rPr>
          <w:b/>
          <w:noProof/>
          <w:lang w:eastAsia="ja-JP"/>
        </w:rPr>
        <w:t>DeviceType=MTC, callPriority=Low,…</w:t>
      </w:r>
      <w:r>
        <w:rPr>
          <w:noProof/>
          <w:lang w:eastAsia="ja-JP"/>
        </w:rPr>
        <w:t xml:space="preserve"> )</w:t>
      </w:r>
    </w:p>
    <w:p w14:paraId="30C31176" w14:textId="7ECB0306" w:rsidR="008015A4" w:rsidRPr="00CE2868" w:rsidRDefault="008015A4" w:rsidP="008015A4">
      <w:pPr>
        <w:pStyle w:val="Observation"/>
      </w:pPr>
      <w:bookmarkStart w:id="23" w:name="_Toc477960831"/>
      <w:bookmarkStart w:id="24" w:name="_Toc477961212"/>
      <w:bookmarkStart w:id="25" w:name="_Toc478107211"/>
      <w:bookmarkStart w:id="26" w:name="_Toc478117684"/>
      <w:bookmarkStart w:id="27" w:name="_Toc478117786"/>
      <w:bookmarkStart w:id="28" w:name="_Toc478134871"/>
      <w:bookmarkStart w:id="29" w:name="_Toc478135011"/>
      <w:bookmarkStart w:id="30" w:name="_Toc478164403"/>
      <w:bookmarkStart w:id="31" w:name="_Toc481793671"/>
      <w:bookmarkStart w:id="32" w:name="_Toc481793936"/>
      <w:r>
        <w:t xml:space="preserve">To preserve characteristics of EAB, </w:t>
      </w:r>
      <w:r w:rsidR="00EA320E">
        <w:t xml:space="preserve">determination of unified access category </w:t>
      </w:r>
      <w:r w:rsidR="00E37A11">
        <w:t>can</w:t>
      </w:r>
      <w:r w:rsidR="00EA320E">
        <w:t xml:space="preserve"> include specific device and/or call type as possible input</w:t>
      </w:r>
      <w:bookmarkEnd w:id="23"/>
      <w:bookmarkEnd w:id="24"/>
      <w:bookmarkEnd w:id="25"/>
      <w:bookmarkEnd w:id="26"/>
      <w:bookmarkEnd w:id="27"/>
      <w:bookmarkEnd w:id="28"/>
      <w:bookmarkEnd w:id="29"/>
      <w:bookmarkEnd w:id="30"/>
      <w:bookmarkEnd w:id="31"/>
      <w:bookmarkEnd w:id="32"/>
    </w:p>
    <w:p w14:paraId="6B1C4B0F" w14:textId="77777777" w:rsidR="008015A4" w:rsidRDefault="008015A4" w:rsidP="006102C7">
      <w:pPr>
        <w:pStyle w:val="BodyText"/>
      </w:pPr>
    </w:p>
    <w:p w14:paraId="47050656" w14:textId="60E55A8C" w:rsidR="008015A4" w:rsidRPr="005B76E7" w:rsidRDefault="008015A4" w:rsidP="00B60759">
      <w:pPr>
        <w:pStyle w:val="Heading3"/>
      </w:pPr>
      <w:r w:rsidRPr="005B76E7">
        <w:t>SSAC, CSFB and ACDC</w:t>
      </w:r>
    </w:p>
    <w:p w14:paraId="59CF9ED3" w14:textId="12C0E6D8" w:rsidR="00EA320E" w:rsidRDefault="00774852" w:rsidP="006102C7">
      <w:r>
        <w:t xml:space="preserve">SSAC is used to control IMS signalling loverload in the IMS server. </w:t>
      </w:r>
      <w:r w:rsidR="00EA320E">
        <w:t xml:space="preserve">With the introduction of mapping rules according to the above, e.g.,; </w:t>
      </w:r>
    </w:p>
    <w:p w14:paraId="2F4E2A4A" w14:textId="5243079D" w:rsidR="005B76E7" w:rsidRDefault="00EA320E" w:rsidP="006102C7">
      <w:pPr>
        <w:pStyle w:val="B1"/>
        <w:ind w:left="0" w:firstLine="0"/>
        <w:rPr>
          <w:noProof/>
          <w:lang w:eastAsia="ja-JP"/>
        </w:rPr>
      </w:pPr>
      <w:r w:rsidRPr="001C3615">
        <w:rPr>
          <w:noProof/>
          <w:lang w:eastAsia="ja-JP"/>
        </w:rPr>
        <w:t>UBMCat= f(…, AccessClass=nn, CN=NG, EstablishmentCause=mo, Service=ServiceID, DeviceType=MTC, callPriority=Low,… )</w:t>
      </w:r>
      <w:r w:rsidRPr="006102C7">
        <w:rPr>
          <w:noProof/>
          <w:lang w:eastAsia="ja-JP"/>
        </w:rPr>
        <w:t>,</w:t>
      </w:r>
    </w:p>
    <w:p w14:paraId="34A9DEB0" w14:textId="1E835485" w:rsidR="00EA320E" w:rsidRPr="006102C7" w:rsidRDefault="00EA320E" w:rsidP="006102C7">
      <w:pPr>
        <w:pStyle w:val="B1"/>
        <w:ind w:left="0" w:firstLine="0"/>
        <w:rPr>
          <w:noProof/>
          <w:lang w:eastAsia="ja-JP"/>
        </w:rPr>
      </w:pPr>
      <w:r w:rsidRPr="006102C7">
        <w:rPr>
          <w:noProof/>
          <w:lang w:eastAsia="ja-JP"/>
        </w:rPr>
        <w:t>we consider it possible to also account for SSAC,</w:t>
      </w:r>
      <w:r w:rsidR="00774852">
        <w:rPr>
          <w:noProof/>
          <w:lang w:eastAsia="ja-JP"/>
        </w:rPr>
        <w:t xml:space="preserve"> by creating </w:t>
      </w:r>
      <w:r w:rsidR="00D07946" w:rsidRPr="006102C7">
        <w:rPr>
          <w:noProof/>
          <w:lang w:eastAsia="ja-JP"/>
        </w:rPr>
        <w:t>specific mapping rules with “Service=ServiceID(MMTEL)”, optionally dependent on none, some or all of the other input parameters</w:t>
      </w:r>
      <w:r w:rsidR="00BA50D5">
        <w:rPr>
          <w:noProof/>
          <w:lang w:eastAsia="ja-JP"/>
        </w:rPr>
        <w:t>.</w:t>
      </w:r>
    </w:p>
    <w:p w14:paraId="17A02BC3" w14:textId="4B38B029" w:rsidR="00BA50D5" w:rsidRDefault="00BA50D5" w:rsidP="006102C7">
      <w:pPr>
        <w:pStyle w:val="B1"/>
        <w:ind w:left="0" w:firstLine="0"/>
        <w:rPr>
          <w:noProof/>
          <w:lang w:eastAsia="ja-JP"/>
        </w:rPr>
      </w:pPr>
      <w:r>
        <w:rPr>
          <w:noProof/>
          <w:lang w:eastAsia="ja-JP"/>
        </w:rPr>
        <w:t>However, it might be discussed how relevant use case this has been in LTE</w:t>
      </w:r>
      <w:r w:rsidR="00774852">
        <w:rPr>
          <w:noProof/>
          <w:lang w:eastAsia="ja-JP"/>
        </w:rPr>
        <w:t xml:space="preserve"> and whether it will be relevant for NR, </w:t>
      </w:r>
      <w:r>
        <w:rPr>
          <w:noProof/>
          <w:lang w:eastAsia="ja-JP"/>
        </w:rPr>
        <w:t xml:space="preserve">considering that the radio is typically the bottleneck and voice is typically prioritised over other traffic. </w:t>
      </w:r>
    </w:p>
    <w:p w14:paraId="696F7D04" w14:textId="7EADD783" w:rsidR="00D07946" w:rsidRPr="006102C7" w:rsidRDefault="00D07946" w:rsidP="006102C7">
      <w:pPr>
        <w:pStyle w:val="B1"/>
        <w:ind w:left="0" w:firstLine="0"/>
        <w:rPr>
          <w:noProof/>
          <w:lang w:eastAsia="ja-JP"/>
        </w:rPr>
      </w:pPr>
      <w:r w:rsidRPr="006102C7">
        <w:rPr>
          <w:noProof/>
          <w:lang w:eastAsia="ja-JP"/>
        </w:rPr>
        <w:t xml:space="preserve">We think the same reasoning holds also for CSFB or similar fallback functionalities e.g; </w:t>
      </w:r>
    </w:p>
    <w:p w14:paraId="1A3D5566" w14:textId="597DE498" w:rsidR="00EA320E" w:rsidRPr="006102C7" w:rsidRDefault="00D07946" w:rsidP="006102C7">
      <w:pPr>
        <w:pStyle w:val="B1"/>
        <w:ind w:left="0" w:firstLine="0"/>
        <w:rPr>
          <w:noProof/>
          <w:lang w:eastAsia="ja-JP"/>
        </w:rPr>
      </w:pPr>
      <w:r w:rsidRPr="006102C7">
        <w:rPr>
          <w:noProof/>
          <w:lang w:eastAsia="ja-JP"/>
        </w:rPr>
        <w:t>UBMCat = f(….,CN=CN-ID(CSFB-CS), EstablishmentCause=</w:t>
      </w:r>
      <w:r w:rsidR="001C3615">
        <w:rPr>
          <w:noProof/>
          <w:lang w:eastAsia="ja-JP"/>
        </w:rPr>
        <w:t>mo</w:t>
      </w:r>
      <w:r w:rsidRPr="006102C7">
        <w:rPr>
          <w:noProof/>
          <w:lang w:eastAsia="ja-JP"/>
        </w:rPr>
        <w:t xml:space="preserve">, …) </w:t>
      </w:r>
    </w:p>
    <w:p w14:paraId="093823B6" w14:textId="3E7FD23B" w:rsidR="00BA50D5" w:rsidRDefault="00BA50D5" w:rsidP="006102C7">
      <w:pPr>
        <w:pStyle w:val="B1"/>
        <w:ind w:left="0" w:firstLine="0"/>
        <w:rPr>
          <w:noProof/>
          <w:lang w:eastAsia="ja-JP"/>
        </w:rPr>
      </w:pPr>
      <w:r>
        <w:rPr>
          <w:noProof/>
          <w:lang w:eastAsia="ja-JP"/>
        </w:rPr>
        <w:t>However, we do not think that CS</w:t>
      </w:r>
      <w:r w:rsidR="00774852">
        <w:rPr>
          <w:noProof/>
          <w:lang w:eastAsia="ja-JP"/>
        </w:rPr>
        <w:t>FB</w:t>
      </w:r>
      <w:r>
        <w:rPr>
          <w:noProof/>
          <w:lang w:eastAsia="ja-JP"/>
        </w:rPr>
        <w:t xml:space="preserve"> needs to be supported in NR</w:t>
      </w:r>
      <w:r w:rsidR="00774852">
        <w:rPr>
          <w:noProof/>
          <w:lang w:eastAsia="ja-JP"/>
        </w:rPr>
        <w:t xml:space="preserve"> even if the UBM-framework would support it.</w:t>
      </w:r>
    </w:p>
    <w:p w14:paraId="230D6E93" w14:textId="2461CC04" w:rsidR="00D07946" w:rsidRPr="006102C7" w:rsidRDefault="00D07946" w:rsidP="006102C7">
      <w:pPr>
        <w:pStyle w:val="B1"/>
        <w:ind w:left="0" w:firstLine="0"/>
        <w:rPr>
          <w:noProof/>
          <w:lang w:eastAsia="ja-JP"/>
        </w:rPr>
      </w:pPr>
      <w:r w:rsidRPr="006102C7">
        <w:rPr>
          <w:noProof/>
          <w:lang w:eastAsia="ja-JP"/>
        </w:rPr>
        <w:t>As we assume that the framework for the new unified access barring mechanism is modeled from ACDC, we also conclude that an ACDC-type of behavior is also achievabl</w:t>
      </w:r>
      <w:r w:rsidR="001C3615" w:rsidRPr="006102C7">
        <w:rPr>
          <w:noProof/>
          <w:lang w:eastAsia="ja-JP"/>
        </w:rPr>
        <w:t xml:space="preserve">e, adding yet another input to the access category determination, i.e., </w:t>
      </w:r>
    </w:p>
    <w:p w14:paraId="1121E3E1" w14:textId="28898A71" w:rsidR="001C3615" w:rsidRDefault="001C3615" w:rsidP="001C3615">
      <w:pPr>
        <w:pStyle w:val="B1"/>
        <w:ind w:left="0" w:firstLine="0"/>
        <w:rPr>
          <w:noProof/>
          <w:lang w:eastAsia="ja-JP"/>
        </w:rPr>
      </w:pPr>
      <w:r w:rsidRPr="006102C7">
        <w:rPr>
          <w:noProof/>
          <w:lang w:eastAsia="ja-JP"/>
        </w:rPr>
        <w:t xml:space="preserve">UBMCat= f(…, AccessClass=nn, CN=NG, EstablishmentCause=mo, Service=ServiceID, DeviceType=MTC, callPriority=Low, </w:t>
      </w:r>
      <w:r w:rsidRPr="006102C7">
        <w:rPr>
          <w:b/>
          <w:noProof/>
          <w:lang w:eastAsia="ja-JP"/>
        </w:rPr>
        <w:t>ApplicationID=yy…</w:t>
      </w:r>
      <w:r w:rsidRPr="006102C7">
        <w:rPr>
          <w:noProof/>
          <w:lang w:eastAsia="ja-JP"/>
        </w:rPr>
        <w:t xml:space="preserve"> ),</w:t>
      </w:r>
    </w:p>
    <w:p w14:paraId="27D4C817" w14:textId="3ADE5BA0" w:rsidR="001C3615" w:rsidRPr="00CE2868" w:rsidRDefault="001C3615" w:rsidP="001C3615">
      <w:pPr>
        <w:pStyle w:val="Observation"/>
      </w:pPr>
      <w:bookmarkStart w:id="33" w:name="_Toc477960832"/>
      <w:bookmarkStart w:id="34" w:name="_Toc477961213"/>
      <w:bookmarkStart w:id="35" w:name="_Toc478107212"/>
      <w:bookmarkStart w:id="36" w:name="_Toc478117685"/>
      <w:bookmarkStart w:id="37" w:name="_Toc478117787"/>
      <w:bookmarkStart w:id="38" w:name="_Toc478134872"/>
      <w:bookmarkStart w:id="39" w:name="_Toc478135012"/>
      <w:bookmarkStart w:id="40" w:name="_Toc478164404"/>
      <w:bookmarkStart w:id="41" w:name="_Toc481793672"/>
      <w:bookmarkStart w:id="42" w:name="_Toc481793937"/>
      <w:r>
        <w:t xml:space="preserve">To preserve characteristics of ACDC, determination of unified access category </w:t>
      </w:r>
      <w:r w:rsidR="00E37A11">
        <w:t>can</w:t>
      </w:r>
      <w:r>
        <w:t xml:space="preserve"> include specific application ID as possible input</w:t>
      </w:r>
      <w:bookmarkEnd w:id="33"/>
      <w:bookmarkEnd w:id="34"/>
      <w:bookmarkEnd w:id="35"/>
      <w:bookmarkEnd w:id="36"/>
      <w:bookmarkEnd w:id="37"/>
      <w:bookmarkEnd w:id="38"/>
      <w:bookmarkEnd w:id="39"/>
      <w:bookmarkEnd w:id="40"/>
      <w:bookmarkEnd w:id="41"/>
      <w:bookmarkEnd w:id="42"/>
    </w:p>
    <w:p w14:paraId="12628243" w14:textId="2E509A56" w:rsidR="001C3615" w:rsidRDefault="00C249E1" w:rsidP="005B76E7">
      <w:pPr>
        <w:pStyle w:val="Heading2"/>
        <w:rPr>
          <w:noProof/>
          <w:lang w:eastAsia="ja-JP"/>
        </w:rPr>
      </w:pPr>
      <w:r>
        <w:rPr>
          <w:noProof/>
          <w:lang w:eastAsia="ja-JP"/>
        </w:rPr>
        <w:t xml:space="preserve">Conclusions on </w:t>
      </w:r>
      <w:r w:rsidR="00B60759">
        <w:rPr>
          <w:noProof/>
          <w:lang w:eastAsia="ja-JP"/>
        </w:rPr>
        <w:t xml:space="preserve">Access Control mechanisms </w:t>
      </w:r>
    </w:p>
    <w:p w14:paraId="0D63B897" w14:textId="02D96075" w:rsidR="00C249E1" w:rsidRDefault="00C249E1" w:rsidP="005B76E7">
      <w:pPr>
        <w:rPr>
          <w:lang w:eastAsia="ja-JP"/>
        </w:rPr>
      </w:pPr>
      <w:r>
        <w:rPr>
          <w:lang w:eastAsia="ja-JP"/>
        </w:rPr>
        <w:t>As discussed in the previous section, we consider that</w:t>
      </w:r>
      <w:r w:rsidR="00774852">
        <w:rPr>
          <w:lang w:eastAsia="ja-JP"/>
        </w:rPr>
        <w:t xml:space="preserve"> a</w:t>
      </w:r>
      <w:r>
        <w:rPr>
          <w:lang w:eastAsia="ja-JP"/>
        </w:rPr>
        <w:t xml:space="preserve"> unified access barring scheme should address ACB, EAB and ACDC use cases whereas CS-fallback barring is not needed. </w:t>
      </w:r>
      <w:r w:rsidR="00774852">
        <w:rPr>
          <w:lang w:eastAsia="ja-JP"/>
        </w:rPr>
        <w:t>Whether SSAC needs to be addressed requires further discussion and operator input</w:t>
      </w:r>
      <w:r>
        <w:rPr>
          <w:lang w:eastAsia="ja-JP"/>
        </w:rPr>
        <w:t>.</w:t>
      </w:r>
    </w:p>
    <w:p w14:paraId="3EB98BF1" w14:textId="4FA77989" w:rsidR="00C249E1" w:rsidRPr="005B76E7" w:rsidRDefault="00774852" w:rsidP="005B76E7">
      <w:pPr>
        <w:pStyle w:val="Proposal"/>
        <w:rPr>
          <w:lang w:eastAsia="ja-JP"/>
        </w:rPr>
      </w:pPr>
      <w:bookmarkStart w:id="43" w:name="_Toc478134873"/>
      <w:bookmarkStart w:id="44" w:name="_Toc478135013"/>
      <w:bookmarkStart w:id="45" w:name="_Toc478135028"/>
      <w:bookmarkStart w:id="46" w:name="_Toc478164395"/>
      <w:bookmarkStart w:id="47" w:name="_Toc481605841"/>
      <w:bookmarkStart w:id="48" w:name="_Toc481793666"/>
      <w:bookmarkStart w:id="49" w:name="_Toc481793938"/>
      <w:r>
        <w:rPr>
          <w:lang w:eastAsia="ja-JP"/>
        </w:rPr>
        <w:t>A u</w:t>
      </w:r>
      <w:r w:rsidR="00C249E1">
        <w:rPr>
          <w:lang w:eastAsia="ja-JP"/>
        </w:rPr>
        <w:t xml:space="preserve">nified access </w:t>
      </w:r>
      <w:r>
        <w:rPr>
          <w:lang w:eastAsia="ja-JP"/>
        </w:rPr>
        <w:t>barring</w:t>
      </w:r>
      <w:r w:rsidR="00E7756B">
        <w:rPr>
          <w:lang w:eastAsia="ja-JP"/>
        </w:rPr>
        <w:t xml:space="preserve"> </w:t>
      </w:r>
      <w:r w:rsidR="00C249E1">
        <w:rPr>
          <w:lang w:eastAsia="ja-JP"/>
        </w:rPr>
        <w:t>should address ACB, EAB and ACDC use cases whereas CS</w:t>
      </w:r>
      <w:r>
        <w:rPr>
          <w:lang w:eastAsia="ja-JP"/>
        </w:rPr>
        <w:t>FB</w:t>
      </w:r>
      <w:r w:rsidR="00C249E1">
        <w:rPr>
          <w:lang w:eastAsia="ja-JP"/>
        </w:rPr>
        <w:t xml:space="preserve"> is not needed. </w:t>
      </w:r>
      <w:r>
        <w:rPr>
          <w:lang w:eastAsia="ja-JP"/>
        </w:rPr>
        <w:t>Whether SSAC should be addressed needs further discussion and operator input</w:t>
      </w:r>
      <w:r w:rsidR="00C249E1">
        <w:rPr>
          <w:lang w:eastAsia="ja-JP"/>
        </w:rPr>
        <w:t>.</w:t>
      </w:r>
      <w:bookmarkEnd w:id="43"/>
      <w:bookmarkEnd w:id="44"/>
      <w:bookmarkEnd w:id="45"/>
      <w:bookmarkEnd w:id="46"/>
      <w:bookmarkEnd w:id="47"/>
      <w:bookmarkEnd w:id="48"/>
      <w:bookmarkEnd w:id="49"/>
    </w:p>
    <w:p w14:paraId="6D90EA42" w14:textId="77777777" w:rsidR="005B76E7" w:rsidRDefault="005B76E7" w:rsidP="005B76E7"/>
    <w:p w14:paraId="046B6150" w14:textId="125F501C" w:rsidR="001C3615" w:rsidRDefault="001C3615" w:rsidP="001C3615">
      <w:pPr>
        <w:pStyle w:val="Heading2"/>
      </w:pPr>
      <w:r>
        <w:t>Other Requirements</w:t>
      </w:r>
    </w:p>
    <w:p w14:paraId="3914B09A" w14:textId="27F8315B" w:rsidR="001C3615" w:rsidRDefault="001C3615" w:rsidP="001C3615">
      <w:r>
        <w:t xml:space="preserve">According to the </w:t>
      </w:r>
      <w:r w:rsidR="00677F69">
        <w:t>RAN2-</w:t>
      </w:r>
      <w:r>
        <w:t>agreement, the work on unified barring mechanism should include assessing whether it is poss</w:t>
      </w:r>
      <w:r w:rsidRPr="00CD1D69">
        <w:t>ible to specify the unified access barring mechanism fully inside the 3GPP WGs.</w:t>
      </w:r>
    </w:p>
    <w:p w14:paraId="6BEEA6E8" w14:textId="22A4BED7" w:rsidR="00B537C0" w:rsidRDefault="001C3615" w:rsidP="001C3615">
      <w:r>
        <w:t>We think that for application and/or service-specific aspects in particular, this will be a challenge unless services and applications are also specified by 3GPP, or at the very least with a specified identity.</w:t>
      </w:r>
      <w:r w:rsidR="00186C0F">
        <w:t xml:space="preserve"> Cp. ACDC </w:t>
      </w:r>
      <w:r w:rsidR="00621799">
        <w:t>for which categorization was outside scope of 3GPP.</w:t>
      </w:r>
    </w:p>
    <w:p w14:paraId="73B87BA1" w14:textId="053C7695" w:rsidR="00A10F87" w:rsidRDefault="00B537C0" w:rsidP="001C3615">
      <w:r>
        <w:t xml:space="preserve">Before </w:t>
      </w:r>
      <w:r w:rsidR="00A10F87">
        <w:t>RAN2</w:t>
      </w:r>
      <w:r>
        <w:t xml:space="preserve"> further progress the work</w:t>
      </w:r>
      <w:r w:rsidR="00067CAC">
        <w:t>, in particular</w:t>
      </w:r>
      <w:r>
        <w:t xml:space="preserve"> </w:t>
      </w:r>
      <w:r w:rsidR="00A10F87">
        <w:t xml:space="preserve">related to the </w:t>
      </w:r>
      <w:r w:rsidR="00C30DAC">
        <w:t xml:space="preserve"> possibility to specify it fully inside 3GPP</w:t>
      </w:r>
      <w:r>
        <w:t>, we think it is reasonable to acquire information about potentially different requirements for access barring from SA1, compared to Rel.14. In particular, in the area of services and applications differentiations.</w:t>
      </w:r>
      <w:r w:rsidR="00C30DAC">
        <w:t xml:space="preserve"> We think that the LS from CT1</w:t>
      </w:r>
      <w:r w:rsidR="00A10F87">
        <w:t xml:space="preserve"> </w:t>
      </w:r>
      <w:r w:rsidR="00A10F87">
        <w:fldChar w:fldCharType="begin"/>
      </w:r>
      <w:r w:rsidR="00A10F87">
        <w:instrText xml:space="preserve"> REF _Ref481605905 \r \h </w:instrText>
      </w:r>
      <w:r w:rsidR="00A10F87">
        <w:fldChar w:fldCharType="separate"/>
      </w:r>
      <w:r w:rsidR="00A10F87">
        <w:t>[2]</w:t>
      </w:r>
      <w:r w:rsidR="00A10F87">
        <w:fldChar w:fldCharType="end"/>
      </w:r>
      <w:r w:rsidR="00C30DAC">
        <w:t xml:space="preserve">, </w:t>
      </w:r>
      <w:r w:rsidR="00A10F87">
        <w:t xml:space="preserve">also </w:t>
      </w:r>
      <w:r w:rsidR="00C30DAC">
        <w:t xml:space="preserve">directed to SA1, </w:t>
      </w:r>
      <w:r w:rsidR="00A10F87">
        <w:t xml:space="preserve">include the question to SA1 that RAN2 also would need to have clarified: </w:t>
      </w:r>
    </w:p>
    <w:p w14:paraId="70803C6C" w14:textId="779DA3A3" w:rsidR="00A10F87" w:rsidRDefault="00A10F87" w:rsidP="008D75A0">
      <w:pPr>
        <w:ind w:left="357"/>
      </w:pPr>
      <w:r w:rsidRPr="008D75A0">
        <w:rPr>
          <w:i/>
        </w:rPr>
        <w:lastRenderedPageBreak/>
        <w:t>“</w:t>
      </w:r>
      <w:r w:rsidRPr="008D75A0">
        <w:rPr>
          <w:rFonts w:cs="Arial"/>
          <w:b/>
          <w:bCs/>
          <w:i/>
          <w:lang w:eastAsia="en-GB"/>
        </w:rPr>
        <w:t>Question 2:</w:t>
      </w:r>
      <w:r w:rsidRPr="008D75A0">
        <w:rPr>
          <w:rFonts w:cs="Arial"/>
          <w:bCs/>
          <w:i/>
          <w:lang w:eastAsia="en-GB"/>
        </w:rPr>
        <w:t xml:space="preserve"> what device properties, device types or profiles, kinds of services, applications or call types etc. should be taken into account for access category mapping and will SA1 define corresponding stage 1 requirements?</w:t>
      </w:r>
      <w:r>
        <w:t>”</w:t>
      </w:r>
    </w:p>
    <w:p w14:paraId="708E5EED" w14:textId="77777777" w:rsidR="00B537C0" w:rsidRDefault="00B537C0" w:rsidP="001C3615"/>
    <w:p w14:paraId="11CDF678" w14:textId="535AD730" w:rsidR="001C3615" w:rsidRPr="00A04F49" w:rsidRDefault="00A10F87" w:rsidP="001C3615">
      <w:pPr>
        <w:pStyle w:val="Proposal"/>
      </w:pPr>
      <w:bookmarkStart w:id="50" w:name="_Toc477960844"/>
      <w:bookmarkStart w:id="51" w:name="_Toc477961214"/>
      <w:bookmarkStart w:id="52" w:name="_Toc478107213"/>
      <w:bookmarkStart w:id="53" w:name="_Toc478117686"/>
      <w:bookmarkStart w:id="54" w:name="_Toc478134874"/>
      <w:bookmarkStart w:id="55" w:name="_Toc478135014"/>
      <w:bookmarkStart w:id="56" w:name="_Toc478135029"/>
      <w:bookmarkStart w:id="57" w:name="_Toc478164396"/>
      <w:bookmarkStart w:id="58" w:name="_Toc481605842"/>
      <w:bookmarkStart w:id="59" w:name="_Toc481793667"/>
      <w:bookmarkStart w:id="60" w:name="_Toc481793939"/>
      <w:r>
        <w:t xml:space="preserve">RAN should postpone the aspect of </w:t>
      </w:r>
      <w:r w:rsidR="008D75A0">
        <w:t>s</w:t>
      </w:r>
      <w:r w:rsidR="008D75A0" w:rsidRPr="00CD1D69">
        <w:t>tudy</w:t>
      </w:r>
      <w:r w:rsidR="008D75A0">
        <w:t>ing</w:t>
      </w:r>
      <w:r w:rsidR="008D75A0" w:rsidRPr="00CD1D69">
        <w:t xml:space="preserve"> whether it is possible to specify the unified access barring mechanism fully inside 3GPP </w:t>
      </w:r>
      <w:r>
        <w:t>until the response from SA1 on the CT1 LS is available.</w:t>
      </w:r>
      <w:bookmarkEnd w:id="60"/>
      <w:r>
        <w:t xml:space="preserve"> </w:t>
      </w:r>
      <w:bookmarkEnd w:id="50"/>
      <w:bookmarkEnd w:id="51"/>
      <w:bookmarkEnd w:id="52"/>
      <w:bookmarkEnd w:id="53"/>
      <w:bookmarkEnd w:id="54"/>
      <w:bookmarkEnd w:id="55"/>
      <w:bookmarkEnd w:id="56"/>
      <w:bookmarkEnd w:id="57"/>
      <w:bookmarkEnd w:id="58"/>
      <w:bookmarkEnd w:id="59"/>
    </w:p>
    <w:p w14:paraId="25751EFB" w14:textId="77777777" w:rsidR="001C3615" w:rsidRDefault="001C3615" w:rsidP="001C3615"/>
    <w:p w14:paraId="6E7E8AF1" w14:textId="3D76A7C1" w:rsidR="00F60494" w:rsidRPr="00AB7879" w:rsidRDefault="00F60494" w:rsidP="00AB7879">
      <w:bookmarkStart w:id="61" w:name="_Toc477851933"/>
      <w:bookmarkEnd w:id="61"/>
    </w:p>
    <w:p w14:paraId="4F3C1114" w14:textId="77777777" w:rsidR="00C01F33" w:rsidRPr="00CE0424" w:rsidRDefault="00C01F33" w:rsidP="00CE0424">
      <w:pPr>
        <w:pStyle w:val="Heading1"/>
      </w:pPr>
      <w:r w:rsidRPr="00CE0424">
        <w:t>Conclusion</w:t>
      </w:r>
    </w:p>
    <w:p w14:paraId="066BDABF" w14:textId="5E30E067" w:rsidR="008E065E" w:rsidRDefault="00D93CE6" w:rsidP="00311702">
      <w:r>
        <w:t>In this paper, we have presented a framework for unified access control, using a single set of access control categories, which also keeps clear separation between the mapping of events onto access control categories</w:t>
      </w:r>
      <w:r w:rsidR="008E065E">
        <w:t xml:space="preserve"> </w:t>
      </w:r>
      <w:r>
        <w:t>and the access bar</w:t>
      </w:r>
      <w:r w:rsidR="009E272C">
        <w:t>r</w:t>
      </w:r>
      <w:r>
        <w:t>ing itself.</w:t>
      </w:r>
    </w:p>
    <w:p w14:paraId="000C887A" w14:textId="22F7EB24" w:rsidR="00B537C0" w:rsidRPr="005B76E7" w:rsidRDefault="008E065E">
      <w:pPr>
        <w:pStyle w:val="TOC1"/>
        <w:rPr>
          <w:b w:val="0"/>
        </w:rPr>
      </w:pPr>
      <w:r w:rsidRPr="005B76E7">
        <w:rPr>
          <w:b w:val="0"/>
        </w:rPr>
        <w:t xml:space="preserve">In section </w:t>
      </w:r>
      <w:r w:rsidRPr="005B76E7">
        <w:rPr>
          <w:b w:val="0"/>
          <w:highlight w:val="cyan"/>
        </w:rPr>
        <w:fldChar w:fldCharType="begin"/>
      </w:r>
      <w:r w:rsidRPr="005B76E7">
        <w:rPr>
          <w:b w:val="0"/>
        </w:rPr>
        <w:instrText xml:space="preserve"> REF _Ref178064866 \r \h </w:instrText>
      </w:r>
      <w:r w:rsidR="005B76E7">
        <w:rPr>
          <w:b w:val="0"/>
          <w:highlight w:val="cyan"/>
        </w:rPr>
        <w:instrText xml:space="preserve"> \* MERGEFORMAT </w:instrText>
      </w:r>
      <w:r w:rsidRPr="005B76E7">
        <w:rPr>
          <w:b w:val="0"/>
          <w:highlight w:val="cyan"/>
        </w:rPr>
      </w:r>
      <w:r w:rsidRPr="005B76E7">
        <w:rPr>
          <w:b w:val="0"/>
          <w:highlight w:val="cyan"/>
        </w:rPr>
        <w:fldChar w:fldCharType="separate"/>
      </w:r>
      <w:r w:rsidR="00250523" w:rsidRPr="005B76E7">
        <w:rPr>
          <w:b w:val="0"/>
        </w:rPr>
        <w:t>2</w:t>
      </w:r>
      <w:r w:rsidRPr="005B76E7">
        <w:rPr>
          <w:b w:val="0"/>
          <w:highlight w:val="cyan"/>
        </w:rPr>
        <w:fldChar w:fldCharType="end"/>
      </w:r>
      <w:r w:rsidRPr="005B76E7">
        <w:rPr>
          <w:b w:val="0"/>
        </w:rPr>
        <w:t xml:space="preserve"> we made the following observations:</w:t>
      </w:r>
    </w:p>
    <w:p w14:paraId="07F37CC6" w14:textId="77777777" w:rsidR="00FD575F" w:rsidRPr="00FD575F"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FD575F">
        <w:t>Observation 1</w:t>
      </w:r>
      <w:r w:rsidR="00FD575F" w:rsidRPr="00FD575F">
        <w:rPr>
          <w:rFonts w:asciiTheme="minorHAnsi" w:eastAsiaTheme="minorEastAsia" w:hAnsiTheme="minorHAnsi" w:cstheme="minorBidi"/>
          <w:b w:val="0"/>
          <w:sz w:val="22"/>
          <w:lang w:eastAsia="sv-SE"/>
        </w:rPr>
        <w:tab/>
      </w:r>
      <w:r w:rsidR="00FD575F">
        <w:t>To preserve characteristics of access class barring, determination of unified access category can include access class as possible input</w:t>
      </w:r>
    </w:p>
    <w:p w14:paraId="230666E9" w14:textId="77777777" w:rsidR="00FD575F" w:rsidRPr="00FD575F" w:rsidRDefault="00FD575F">
      <w:pPr>
        <w:pStyle w:val="TOC1"/>
        <w:rPr>
          <w:rFonts w:asciiTheme="minorHAnsi" w:eastAsiaTheme="minorEastAsia" w:hAnsiTheme="minorHAnsi" w:cstheme="minorBidi"/>
          <w:b w:val="0"/>
          <w:sz w:val="22"/>
          <w:lang w:eastAsia="sv-SE"/>
        </w:rPr>
      </w:pPr>
      <w:r>
        <w:t>Observation 2</w:t>
      </w:r>
      <w:r w:rsidRPr="00FD575F">
        <w:rPr>
          <w:rFonts w:asciiTheme="minorHAnsi" w:eastAsiaTheme="minorEastAsia" w:hAnsiTheme="minorHAnsi" w:cstheme="minorBidi"/>
          <w:b w:val="0"/>
          <w:sz w:val="22"/>
          <w:lang w:eastAsia="sv-SE"/>
        </w:rPr>
        <w:tab/>
      </w:r>
      <w:r>
        <w:t>To preserve characteristics of access class barring, determination of unified access category can include CN, Establishment Cause and Service as possible input</w:t>
      </w:r>
    </w:p>
    <w:p w14:paraId="47A6CE36" w14:textId="77777777" w:rsidR="00FD575F" w:rsidRPr="00FD575F" w:rsidRDefault="00FD575F">
      <w:pPr>
        <w:pStyle w:val="TOC1"/>
        <w:rPr>
          <w:rFonts w:asciiTheme="minorHAnsi" w:eastAsiaTheme="minorEastAsia" w:hAnsiTheme="minorHAnsi" w:cstheme="minorBidi"/>
          <w:b w:val="0"/>
          <w:sz w:val="22"/>
          <w:lang w:eastAsia="sv-SE"/>
        </w:rPr>
      </w:pPr>
      <w:r>
        <w:t>Observation 3</w:t>
      </w:r>
      <w:r w:rsidRPr="00FD575F">
        <w:rPr>
          <w:rFonts w:asciiTheme="minorHAnsi" w:eastAsiaTheme="minorEastAsia" w:hAnsiTheme="minorHAnsi" w:cstheme="minorBidi"/>
          <w:b w:val="0"/>
          <w:sz w:val="22"/>
          <w:lang w:eastAsia="sv-SE"/>
        </w:rPr>
        <w:tab/>
      </w:r>
      <w:r>
        <w:t>To preserve characteristics of EAB, determination of unified access category can include specific device and/or call type as possible input</w:t>
      </w:r>
    </w:p>
    <w:p w14:paraId="6541D817" w14:textId="77777777" w:rsidR="00FD575F" w:rsidRPr="00FD575F" w:rsidRDefault="00FD575F">
      <w:pPr>
        <w:pStyle w:val="TOC1"/>
        <w:rPr>
          <w:rFonts w:asciiTheme="minorHAnsi" w:eastAsiaTheme="minorEastAsia" w:hAnsiTheme="minorHAnsi" w:cstheme="minorBidi"/>
          <w:b w:val="0"/>
          <w:sz w:val="22"/>
          <w:lang w:eastAsia="sv-SE"/>
        </w:rPr>
      </w:pPr>
      <w:r>
        <w:t>Observation 4</w:t>
      </w:r>
      <w:r w:rsidRPr="00FD575F">
        <w:rPr>
          <w:rFonts w:asciiTheme="minorHAnsi" w:eastAsiaTheme="minorEastAsia" w:hAnsiTheme="minorHAnsi" w:cstheme="minorBidi"/>
          <w:b w:val="0"/>
          <w:sz w:val="22"/>
          <w:lang w:eastAsia="sv-SE"/>
        </w:rPr>
        <w:tab/>
      </w:r>
      <w:r>
        <w:t>To preserve characteristics of ACDC, determination of unified access category can include specific application ID as possible input</w:t>
      </w:r>
    </w:p>
    <w:p w14:paraId="7A6258C7" w14:textId="6B968183" w:rsidR="008E065E" w:rsidRDefault="008E065E" w:rsidP="008E065E">
      <w:pPr>
        <w:pStyle w:val="BodyText"/>
        <w:rPr>
          <w:b/>
          <w:bCs/>
        </w:rPr>
      </w:pPr>
      <w:r>
        <w:rPr>
          <w:b/>
          <w:bCs/>
        </w:rPr>
        <w:fldChar w:fldCharType="end"/>
      </w:r>
    </w:p>
    <w:p w14:paraId="2C8ED2B3" w14:textId="3094D6AE" w:rsidR="00B537C0" w:rsidRPr="005B76E7" w:rsidRDefault="008E065E">
      <w:pPr>
        <w:pStyle w:val="TOC1"/>
        <w:rPr>
          <w:b w:val="0"/>
        </w:rPr>
      </w:pPr>
      <w:r w:rsidRPr="005B76E7">
        <w:rPr>
          <w:b w:val="0"/>
        </w:rPr>
        <w:t xml:space="preserve">Based on the discussion in section </w:t>
      </w:r>
      <w:r w:rsidRPr="005B76E7">
        <w:rPr>
          <w:b w:val="0"/>
          <w:highlight w:val="cyan"/>
        </w:rPr>
        <w:fldChar w:fldCharType="begin"/>
      </w:r>
      <w:r w:rsidRPr="005B76E7">
        <w:rPr>
          <w:b w:val="0"/>
        </w:rPr>
        <w:instrText xml:space="preserve"> REF _Ref178064866 \r \h </w:instrText>
      </w:r>
      <w:r w:rsidR="005B76E7">
        <w:rPr>
          <w:b w:val="0"/>
          <w:highlight w:val="cyan"/>
        </w:rPr>
        <w:instrText xml:space="preserve"> \* MERGEFORMAT </w:instrText>
      </w:r>
      <w:r w:rsidRPr="005B76E7">
        <w:rPr>
          <w:b w:val="0"/>
          <w:highlight w:val="cyan"/>
        </w:rPr>
      </w:r>
      <w:r w:rsidRPr="005B76E7">
        <w:rPr>
          <w:b w:val="0"/>
          <w:highlight w:val="cyan"/>
        </w:rPr>
        <w:fldChar w:fldCharType="separate"/>
      </w:r>
      <w:r w:rsidR="00250523" w:rsidRPr="005B76E7">
        <w:rPr>
          <w:b w:val="0"/>
        </w:rPr>
        <w:t>2</w:t>
      </w:r>
      <w:r w:rsidRPr="005B76E7">
        <w:rPr>
          <w:b w:val="0"/>
          <w:highlight w:val="cyan"/>
        </w:rPr>
        <w:fldChar w:fldCharType="end"/>
      </w:r>
      <w:r w:rsidRPr="005B76E7">
        <w:rPr>
          <w:b w:val="0"/>
        </w:rPr>
        <w:t xml:space="preserve"> we propose the following:</w:t>
      </w:r>
    </w:p>
    <w:p w14:paraId="14FE4E00" w14:textId="77777777" w:rsidR="00FD575F" w:rsidRPr="00FD575F"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FD575F">
        <w:rPr>
          <w:lang w:eastAsia="ja-JP"/>
        </w:rPr>
        <w:t>Proposal 1</w:t>
      </w:r>
      <w:r w:rsidR="00FD575F" w:rsidRPr="00FD575F">
        <w:rPr>
          <w:rFonts w:asciiTheme="minorHAnsi" w:eastAsiaTheme="minorEastAsia" w:hAnsiTheme="minorHAnsi" w:cstheme="minorBidi"/>
          <w:b w:val="0"/>
          <w:sz w:val="22"/>
          <w:lang w:eastAsia="sv-SE"/>
        </w:rPr>
        <w:tab/>
      </w:r>
      <w:r w:rsidR="00FD575F">
        <w:rPr>
          <w:lang w:eastAsia="ja-JP"/>
        </w:rPr>
        <w:t>A unified access barring should address ACB, EAB and ACDC use cases whereas CSFB is not needed. Whether SSAC should be addressed needs further discussion and operator input.</w:t>
      </w:r>
    </w:p>
    <w:p w14:paraId="7B032173" w14:textId="77777777" w:rsidR="00FD575F" w:rsidRPr="00FD575F" w:rsidRDefault="00FD575F">
      <w:pPr>
        <w:pStyle w:val="TOC1"/>
        <w:rPr>
          <w:rFonts w:asciiTheme="minorHAnsi" w:eastAsiaTheme="minorEastAsia" w:hAnsiTheme="minorHAnsi" w:cstheme="minorBidi"/>
          <w:b w:val="0"/>
          <w:sz w:val="22"/>
          <w:lang w:eastAsia="sv-SE"/>
        </w:rPr>
      </w:pPr>
      <w:r>
        <w:t>Proposal 2</w:t>
      </w:r>
      <w:r w:rsidRPr="00FD575F">
        <w:rPr>
          <w:rFonts w:asciiTheme="minorHAnsi" w:eastAsiaTheme="minorEastAsia" w:hAnsiTheme="minorHAnsi" w:cstheme="minorBidi"/>
          <w:b w:val="0"/>
          <w:sz w:val="22"/>
          <w:lang w:eastAsia="sv-SE"/>
        </w:rPr>
        <w:tab/>
      </w:r>
      <w:r>
        <w:t>RAN should postpone the aspect of studying whether it is possible to specify the unified access barring mechanism fully inside 3GPP until the response from SA1 on the CT1 LS is available.</w:t>
      </w:r>
    </w:p>
    <w:p w14:paraId="397305DF" w14:textId="7EA181D2" w:rsidR="00311702" w:rsidRPr="00D04434" w:rsidRDefault="008E065E" w:rsidP="00AB0BC8">
      <w:pPr>
        <w:rPr>
          <w:b/>
          <w:bCs/>
        </w:rPr>
      </w:pPr>
      <w:r>
        <w:rPr>
          <w:b/>
          <w:bCs/>
        </w:rPr>
        <w:fldChar w:fldCharType="end"/>
      </w:r>
    </w:p>
    <w:p w14:paraId="0CB50778" w14:textId="77777777" w:rsidR="00C01F33" w:rsidRPr="00CE0424" w:rsidRDefault="00C01F33" w:rsidP="006E062C"/>
    <w:p w14:paraId="17EC36B3" w14:textId="77777777" w:rsidR="00F507D1" w:rsidRPr="00CE0424" w:rsidRDefault="00F507D1" w:rsidP="00CE0424">
      <w:pPr>
        <w:pStyle w:val="Heading1"/>
      </w:pPr>
      <w:bookmarkStart w:id="62" w:name="_In-sequence_SDU_delivery"/>
      <w:bookmarkEnd w:id="62"/>
      <w:r w:rsidRPr="00CE0424">
        <w:t>References</w:t>
      </w:r>
    </w:p>
    <w:p w14:paraId="674B1442" w14:textId="1D5750A8" w:rsidR="0081625C" w:rsidRPr="008D75A0" w:rsidRDefault="000E0FDC" w:rsidP="006102C7">
      <w:pPr>
        <w:pStyle w:val="Reference"/>
        <w:rPr>
          <w:lang w:val="en-US"/>
        </w:rPr>
      </w:pPr>
      <w:r w:rsidRPr="00F103CA">
        <w:rPr>
          <w:lang w:val="en-US"/>
        </w:rPr>
        <w:t>R2-1702441, LS on Access Control for NR, 3GPP RAN WG2 #97, Athens, Greece, February 13-17, 2017</w:t>
      </w:r>
    </w:p>
    <w:p w14:paraId="39BE062A" w14:textId="05951440" w:rsidR="00C30DAC" w:rsidRPr="00C30DAC" w:rsidRDefault="00C544D5" w:rsidP="006102C7">
      <w:pPr>
        <w:pStyle w:val="Reference"/>
      </w:pPr>
      <w:bookmarkStart w:id="63" w:name="_Ref481605905"/>
      <w:r>
        <w:rPr>
          <w:lang w:val="en-US"/>
        </w:rPr>
        <w:t xml:space="preserve">R2-1704007 / </w:t>
      </w:r>
      <w:r w:rsidR="00C30DAC" w:rsidRPr="00C30DAC">
        <w:rPr>
          <w:lang w:val="en-US"/>
        </w:rPr>
        <w:t xml:space="preserve">C1-171965, </w:t>
      </w:r>
      <w:r w:rsidR="00C30DAC" w:rsidRPr="008D75A0">
        <w:rPr>
          <w:rFonts w:cs="Arial"/>
        </w:rPr>
        <w:t>LS on unified Access Control for 5G NR</w:t>
      </w:r>
      <w:r w:rsidR="00C30DAC">
        <w:rPr>
          <w:rFonts w:cs="Arial"/>
        </w:rPr>
        <w:t xml:space="preserve"> (Response to C1-171293/R2-1702441 on LS on Access Control for NR from RAN2), 3GPP CT WG1 #103, Spokane, (WA), USA, April 3-7, 2017</w:t>
      </w:r>
      <w:bookmarkEnd w:id="63"/>
    </w:p>
    <w:sectPr w:rsidR="00C30DAC" w:rsidRPr="00C30DA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8B2EF" w14:textId="77777777" w:rsidR="009154EF" w:rsidRDefault="009154EF">
      <w:r>
        <w:separator/>
      </w:r>
    </w:p>
  </w:endnote>
  <w:endnote w:type="continuationSeparator" w:id="0">
    <w:p w14:paraId="480E9246" w14:textId="77777777" w:rsidR="009154EF" w:rsidRDefault="0091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4D2F" w14:textId="70F2399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57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575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4B9D5" w14:textId="77777777" w:rsidR="009154EF" w:rsidRDefault="009154EF">
      <w:r>
        <w:separator/>
      </w:r>
    </w:p>
  </w:footnote>
  <w:footnote w:type="continuationSeparator" w:id="0">
    <w:p w14:paraId="1AFA4F85" w14:textId="77777777" w:rsidR="009154EF" w:rsidRDefault="00915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61A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B5B24"/>
    <w:multiLevelType w:val="hybridMultilevel"/>
    <w:tmpl w:val="46F6B162"/>
    <w:lvl w:ilvl="0" w:tplc="089247A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4"/>
  </w:num>
  <w:num w:numId="10">
    <w:abstractNumId w:val="2"/>
  </w:num>
  <w:num w:numId="11">
    <w:abstractNumId w:val="1"/>
  </w:num>
  <w:num w:numId="12">
    <w:abstractNumId w:val="0"/>
  </w:num>
  <w:num w:numId="13">
    <w:abstractNumId w:val="13"/>
  </w:num>
  <w:num w:numId="14">
    <w:abstractNumId w:val="5"/>
  </w:num>
  <w:num w:numId="15">
    <w:abstractNumId w:val="16"/>
  </w:num>
  <w:num w:numId="16">
    <w:abstractNumId w:val="15"/>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23"/>
    <w:rsid w:val="000006E1"/>
    <w:rsid w:val="00002A37"/>
    <w:rsid w:val="00006446"/>
    <w:rsid w:val="00006896"/>
    <w:rsid w:val="00006B58"/>
    <w:rsid w:val="00007CDC"/>
    <w:rsid w:val="00011B28"/>
    <w:rsid w:val="00015D15"/>
    <w:rsid w:val="00024B57"/>
    <w:rsid w:val="0002564D"/>
    <w:rsid w:val="00025ECA"/>
    <w:rsid w:val="00027939"/>
    <w:rsid w:val="000325B8"/>
    <w:rsid w:val="00034C15"/>
    <w:rsid w:val="00036BA1"/>
    <w:rsid w:val="000422E2"/>
    <w:rsid w:val="00042F22"/>
    <w:rsid w:val="000444EF"/>
    <w:rsid w:val="00047FFC"/>
    <w:rsid w:val="000527AC"/>
    <w:rsid w:val="00052A07"/>
    <w:rsid w:val="000534E3"/>
    <w:rsid w:val="0005606A"/>
    <w:rsid w:val="00057117"/>
    <w:rsid w:val="000616E7"/>
    <w:rsid w:val="0006487E"/>
    <w:rsid w:val="00065E1A"/>
    <w:rsid w:val="00067548"/>
    <w:rsid w:val="00067CAC"/>
    <w:rsid w:val="00077E5F"/>
    <w:rsid w:val="0008036A"/>
    <w:rsid w:val="00081AE6"/>
    <w:rsid w:val="000855EB"/>
    <w:rsid w:val="00085B52"/>
    <w:rsid w:val="000866F2"/>
    <w:rsid w:val="0009009F"/>
    <w:rsid w:val="00090CE9"/>
    <w:rsid w:val="00091557"/>
    <w:rsid w:val="000924C1"/>
    <w:rsid w:val="000924F0"/>
    <w:rsid w:val="00093474"/>
    <w:rsid w:val="0009510F"/>
    <w:rsid w:val="000A1B7B"/>
    <w:rsid w:val="000A311B"/>
    <w:rsid w:val="000A56F2"/>
    <w:rsid w:val="000B2719"/>
    <w:rsid w:val="000B3A8F"/>
    <w:rsid w:val="000B4AB9"/>
    <w:rsid w:val="000B58C3"/>
    <w:rsid w:val="000B61E9"/>
    <w:rsid w:val="000B6640"/>
    <w:rsid w:val="000C165A"/>
    <w:rsid w:val="000C2E19"/>
    <w:rsid w:val="000D0D07"/>
    <w:rsid w:val="000D4797"/>
    <w:rsid w:val="000E0527"/>
    <w:rsid w:val="000E0FDC"/>
    <w:rsid w:val="000E1E92"/>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19F5"/>
    <w:rsid w:val="00121A20"/>
    <w:rsid w:val="00122864"/>
    <w:rsid w:val="00122F2E"/>
    <w:rsid w:val="00122FDB"/>
    <w:rsid w:val="0012377F"/>
    <w:rsid w:val="00124314"/>
    <w:rsid w:val="00126B4A"/>
    <w:rsid w:val="00132FD0"/>
    <w:rsid w:val="00133B4C"/>
    <w:rsid w:val="001344C0"/>
    <w:rsid w:val="001344FC"/>
    <w:rsid w:val="001346FA"/>
    <w:rsid w:val="00135252"/>
    <w:rsid w:val="00137AB5"/>
    <w:rsid w:val="00137F0B"/>
    <w:rsid w:val="00141166"/>
    <w:rsid w:val="00151E23"/>
    <w:rsid w:val="001526E0"/>
    <w:rsid w:val="001551B5"/>
    <w:rsid w:val="00164274"/>
    <w:rsid w:val="001643A8"/>
    <w:rsid w:val="001659C1"/>
    <w:rsid w:val="00173A8E"/>
    <w:rsid w:val="00176890"/>
    <w:rsid w:val="00177795"/>
    <w:rsid w:val="0018143F"/>
    <w:rsid w:val="00186C0F"/>
    <w:rsid w:val="001877F7"/>
    <w:rsid w:val="00190AC1"/>
    <w:rsid w:val="00191AEE"/>
    <w:rsid w:val="0019341A"/>
    <w:rsid w:val="00197DF9"/>
    <w:rsid w:val="001A1987"/>
    <w:rsid w:val="001A2564"/>
    <w:rsid w:val="001A6173"/>
    <w:rsid w:val="001A6CBA"/>
    <w:rsid w:val="001B0D97"/>
    <w:rsid w:val="001B2090"/>
    <w:rsid w:val="001B5A5D"/>
    <w:rsid w:val="001C1CE5"/>
    <w:rsid w:val="001C3615"/>
    <w:rsid w:val="001C3D2A"/>
    <w:rsid w:val="001C6495"/>
    <w:rsid w:val="001D51BA"/>
    <w:rsid w:val="001D6342"/>
    <w:rsid w:val="001D6922"/>
    <w:rsid w:val="001D6D53"/>
    <w:rsid w:val="001E58E2"/>
    <w:rsid w:val="001E7AED"/>
    <w:rsid w:val="001F3553"/>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0906"/>
    <w:rsid w:val="002224DB"/>
    <w:rsid w:val="00223FCB"/>
    <w:rsid w:val="002252C3"/>
    <w:rsid w:val="00225C54"/>
    <w:rsid w:val="00230765"/>
    <w:rsid w:val="002319E4"/>
    <w:rsid w:val="00235632"/>
    <w:rsid w:val="00235872"/>
    <w:rsid w:val="00235BFB"/>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3278"/>
    <w:rsid w:val="002737F4"/>
    <w:rsid w:val="0027776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1AB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0FC0"/>
    <w:rsid w:val="003A127C"/>
    <w:rsid w:val="003A1F9F"/>
    <w:rsid w:val="003A2223"/>
    <w:rsid w:val="003A2A0F"/>
    <w:rsid w:val="003A45A1"/>
    <w:rsid w:val="003A5B0A"/>
    <w:rsid w:val="003A6BAC"/>
    <w:rsid w:val="003A7EF3"/>
    <w:rsid w:val="003B159C"/>
    <w:rsid w:val="003B369F"/>
    <w:rsid w:val="003B36A3"/>
    <w:rsid w:val="003B6A36"/>
    <w:rsid w:val="003B7FE5"/>
    <w:rsid w:val="003C11C8"/>
    <w:rsid w:val="003C2702"/>
    <w:rsid w:val="003C7806"/>
    <w:rsid w:val="003D109F"/>
    <w:rsid w:val="003D2478"/>
    <w:rsid w:val="003D2FC4"/>
    <w:rsid w:val="003D3C45"/>
    <w:rsid w:val="003D5B1F"/>
    <w:rsid w:val="003D67F4"/>
    <w:rsid w:val="003E15FA"/>
    <w:rsid w:val="003E55E4"/>
    <w:rsid w:val="003E74E3"/>
    <w:rsid w:val="003E75BA"/>
    <w:rsid w:val="003F05C7"/>
    <w:rsid w:val="003F2489"/>
    <w:rsid w:val="003F2CD4"/>
    <w:rsid w:val="003F6BBE"/>
    <w:rsid w:val="004000E8"/>
    <w:rsid w:val="0040217F"/>
    <w:rsid w:val="004022A7"/>
    <w:rsid w:val="00402E2B"/>
    <w:rsid w:val="0040512B"/>
    <w:rsid w:val="00405CA5"/>
    <w:rsid w:val="00407CD3"/>
    <w:rsid w:val="00410134"/>
    <w:rsid w:val="00410B72"/>
    <w:rsid w:val="00410F18"/>
    <w:rsid w:val="0041263E"/>
    <w:rsid w:val="00413AAC"/>
    <w:rsid w:val="00421105"/>
    <w:rsid w:val="0042178F"/>
    <w:rsid w:val="004242F4"/>
    <w:rsid w:val="00427248"/>
    <w:rsid w:val="00437447"/>
    <w:rsid w:val="00440A01"/>
    <w:rsid w:val="00440B16"/>
    <w:rsid w:val="00441A92"/>
    <w:rsid w:val="00444F56"/>
    <w:rsid w:val="00446488"/>
    <w:rsid w:val="004517AA"/>
    <w:rsid w:val="00451811"/>
    <w:rsid w:val="00452CAC"/>
    <w:rsid w:val="00457565"/>
    <w:rsid w:val="00457B71"/>
    <w:rsid w:val="00465F3A"/>
    <w:rsid w:val="004669E2"/>
    <w:rsid w:val="00470C31"/>
    <w:rsid w:val="00471ECD"/>
    <w:rsid w:val="004734D0"/>
    <w:rsid w:val="0047556B"/>
    <w:rsid w:val="00477565"/>
    <w:rsid w:val="00477768"/>
    <w:rsid w:val="00477BF4"/>
    <w:rsid w:val="00484122"/>
    <w:rsid w:val="00492BC5"/>
    <w:rsid w:val="004964F1"/>
    <w:rsid w:val="004A16BC"/>
    <w:rsid w:val="004A2B94"/>
    <w:rsid w:val="004A5556"/>
    <w:rsid w:val="004B1655"/>
    <w:rsid w:val="004B7888"/>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20AF"/>
    <w:rsid w:val="00546970"/>
    <w:rsid w:val="00550CA5"/>
    <w:rsid w:val="00554E19"/>
    <w:rsid w:val="00557000"/>
    <w:rsid w:val="0056121F"/>
    <w:rsid w:val="00572505"/>
    <w:rsid w:val="00580202"/>
    <w:rsid w:val="00582809"/>
    <w:rsid w:val="0058798C"/>
    <w:rsid w:val="00587A32"/>
    <w:rsid w:val="005900FA"/>
    <w:rsid w:val="005935A4"/>
    <w:rsid w:val="005948C2"/>
    <w:rsid w:val="00595DCA"/>
    <w:rsid w:val="0059779B"/>
    <w:rsid w:val="005A209A"/>
    <w:rsid w:val="005A53EE"/>
    <w:rsid w:val="005A662D"/>
    <w:rsid w:val="005B35D7"/>
    <w:rsid w:val="005B392A"/>
    <w:rsid w:val="005B3AA3"/>
    <w:rsid w:val="005B6F83"/>
    <w:rsid w:val="005B76E7"/>
    <w:rsid w:val="005C74FB"/>
    <w:rsid w:val="005D1602"/>
    <w:rsid w:val="005E282F"/>
    <w:rsid w:val="005E385F"/>
    <w:rsid w:val="005E5B81"/>
    <w:rsid w:val="005E5FEA"/>
    <w:rsid w:val="005F2CB1"/>
    <w:rsid w:val="005F3025"/>
    <w:rsid w:val="005F4D03"/>
    <w:rsid w:val="005F4F06"/>
    <w:rsid w:val="005F618C"/>
    <w:rsid w:val="005F70BD"/>
    <w:rsid w:val="0060283C"/>
    <w:rsid w:val="00604F14"/>
    <w:rsid w:val="00605F62"/>
    <w:rsid w:val="006102C7"/>
    <w:rsid w:val="00611B83"/>
    <w:rsid w:val="00613257"/>
    <w:rsid w:val="00620A71"/>
    <w:rsid w:val="00620D80"/>
    <w:rsid w:val="00621799"/>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624E"/>
    <w:rsid w:val="00650AB9"/>
    <w:rsid w:val="00650C5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77F6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B3"/>
    <w:rsid w:val="006D3DE0"/>
    <w:rsid w:val="006D6F08"/>
    <w:rsid w:val="006E062C"/>
    <w:rsid w:val="006E28B7"/>
    <w:rsid w:val="006E3310"/>
    <w:rsid w:val="006E372A"/>
    <w:rsid w:val="006E4E39"/>
    <w:rsid w:val="006E565E"/>
    <w:rsid w:val="006E673D"/>
    <w:rsid w:val="006E7D3B"/>
    <w:rsid w:val="006F14AF"/>
    <w:rsid w:val="006F1B70"/>
    <w:rsid w:val="006F341D"/>
    <w:rsid w:val="006F3CDE"/>
    <w:rsid w:val="006F58D4"/>
    <w:rsid w:val="0070346E"/>
    <w:rsid w:val="00704EDB"/>
    <w:rsid w:val="0070537F"/>
    <w:rsid w:val="00706101"/>
    <w:rsid w:val="00707072"/>
    <w:rsid w:val="00707D61"/>
    <w:rsid w:val="00711DDF"/>
    <w:rsid w:val="00712287"/>
    <w:rsid w:val="00712772"/>
    <w:rsid w:val="007146AF"/>
    <w:rsid w:val="007148D3"/>
    <w:rsid w:val="00715B9A"/>
    <w:rsid w:val="00721593"/>
    <w:rsid w:val="00725063"/>
    <w:rsid w:val="00726EA6"/>
    <w:rsid w:val="00727208"/>
    <w:rsid w:val="00727680"/>
    <w:rsid w:val="007348B1"/>
    <w:rsid w:val="00734B23"/>
    <w:rsid w:val="00735E37"/>
    <w:rsid w:val="007362A6"/>
    <w:rsid w:val="00736D7D"/>
    <w:rsid w:val="00740E58"/>
    <w:rsid w:val="0074405B"/>
    <w:rsid w:val="007445A0"/>
    <w:rsid w:val="0074524B"/>
    <w:rsid w:val="00747D8B"/>
    <w:rsid w:val="00751228"/>
    <w:rsid w:val="00756311"/>
    <w:rsid w:val="007571E1"/>
    <w:rsid w:val="007604B2"/>
    <w:rsid w:val="00765281"/>
    <w:rsid w:val="00766BAD"/>
    <w:rsid w:val="007730BD"/>
    <w:rsid w:val="00774852"/>
    <w:rsid w:val="007755F2"/>
    <w:rsid w:val="00776971"/>
    <w:rsid w:val="0078177E"/>
    <w:rsid w:val="0078304C"/>
    <w:rsid w:val="00783673"/>
    <w:rsid w:val="00785490"/>
    <w:rsid w:val="00790E50"/>
    <w:rsid w:val="00791F47"/>
    <w:rsid w:val="007925EA"/>
    <w:rsid w:val="00793CD8"/>
    <w:rsid w:val="00795C92"/>
    <w:rsid w:val="00796231"/>
    <w:rsid w:val="007A0BB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5A4"/>
    <w:rsid w:val="008016C3"/>
    <w:rsid w:val="00803FAE"/>
    <w:rsid w:val="008048D9"/>
    <w:rsid w:val="0080605F"/>
    <w:rsid w:val="00807786"/>
    <w:rsid w:val="00811FCB"/>
    <w:rsid w:val="008158D6"/>
    <w:rsid w:val="0081625C"/>
    <w:rsid w:val="00817196"/>
    <w:rsid w:val="00817EDE"/>
    <w:rsid w:val="00821E92"/>
    <w:rsid w:val="008235DB"/>
    <w:rsid w:val="00824AB4"/>
    <w:rsid w:val="00825C42"/>
    <w:rsid w:val="00825D25"/>
    <w:rsid w:val="008266C1"/>
    <w:rsid w:val="00827D6F"/>
    <w:rsid w:val="00831BCF"/>
    <w:rsid w:val="008376AC"/>
    <w:rsid w:val="00841608"/>
    <w:rsid w:val="008444E8"/>
    <w:rsid w:val="00844E80"/>
    <w:rsid w:val="00846FE7"/>
    <w:rsid w:val="00847209"/>
    <w:rsid w:val="00850CEC"/>
    <w:rsid w:val="00856911"/>
    <w:rsid w:val="00865539"/>
    <w:rsid w:val="008677FD"/>
    <w:rsid w:val="008706D4"/>
    <w:rsid w:val="00870F8A"/>
    <w:rsid w:val="008710FF"/>
    <w:rsid w:val="008719A4"/>
    <w:rsid w:val="00871D23"/>
    <w:rsid w:val="00874312"/>
    <w:rsid w:val="0087437C"/>
    <w:rsid w:val="00875CD7"/>
    <w:rsid w:val="00876B4D"/>
    <w:rsid w:val="00877F18"/>
    <w:rsid w:val="0088712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D6E"/>
    <w:rsid w:val="008C4958"/>
    <w:rsid w:val="008C4BAA"/>
    <w:rsid w:val="008C6AE8"/>
    <w:rsid w:val="008C7573"/>
    <w:rsid w:val="008D34F1"/>
    <w:rsid w:val="008D39D8"/>
    <w:rsid w:val="008D6D1A"/>
    <w:rsid w:val="008D75A0"/>
    <w:rsid w:val="008E065E"/>
    <w:rsid w:val="008E0927"/>
    <w:rsid w:val="008E1909"/>
    <w:rsid w:val="008E4635"/>
    <w:rsid w:val="008E5CE1"/>
    <w:rsid w:val="008F1EAB"/>
    <w:rsid w:val="008F33DC"/>
    <w:rsid w:val="008F477F"/>
    <w:rsid w:val="008F4F82"/>
    <w:rsid w:val="008F60FC"/>
    <w:rsid w:val="00902350"/>
    <w:rsid w:val="0090336B"/>
    <w:rsid w:val="009053AA"/>
    <w:rsid w:val="00906939"/>
    <w:rsid w:val="009105D3"/>
    <w:rsid w:val="00910B7D"/>
    <w:rsid w:val="00911DFB"/>
    <w:rsid w:val="009139D9"/>
    <w:rsid w:val="00914AD8"/>
    <w:rsid w:val="009154EF"/>
    <w:rsid w:val="00916079"/>
    <w:rsid w:val="00917CE9"/>
    <w:rsid w:val="00920BF2"/>
    <w:rsid w:val="00922010"/>
    <w:rsid w:val="0092711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3976"/>
    <w:rsid w:val="009A462D"/>
    <w:rsid w:val="009A5CBA"/>
    <w:rsid w:val="009A7E5C"/>
    <w:rsid w:val="009B11FD"/>
    <w:rsid w:val="009B15CA"/>
    <w:rsid w:val="009B1F30"/>
    <w:rsid w:val="009B3AC2"/>
    <w:rsid w:val="009B4DF4"/>
    <w:rsid w:val="009B564E"/>
    <w:rsid w:val="009B7E87"/>
    <w:rsid w:val="009C403E"/>
    <w:rsid w:val="009D4FF0"/>
    <w:rsid w:val="009D6302"/>
    <w:rsid w:val="009D703C"/>
    <w:rsid w:val="009D718F"/>
    <w:rsid w:val="009E068F"/>
    <w:rsid w:val="009E14E0"/>
    <w:rsid w:val="009E272C"/>
    <w:rsid w:val="009E35DB"/>
    <w:rsid w:val="009E47A3"/>
    <w:rsid w:val="009F031C"/>
    <w:rsid w:val="009F08F3"/>
    <w:rsid w:val="009F1ECE"/>
    <w:rsid w:val="009F344F"/>
    <w:rsid w:val="00A0068E"/>
    <w:rsid w:val="00A048A8"/>
    <w:rsid w:val="00A04F49"/>
    <w:rsid w:val="00A06658"/>
    <w:rsid w:val="00A07855"/>
    <w:rsid w:val="00A10F87"/>
    <w:rsid w:val="00A12D3D"/>
    <w:rsid w:val="00A13E54"/>
    <w:rsid w:val="00A17F63"/>
    <w:rsid w:val="00A2129B"/>
    <w:rsid w:val="00A2193B"/>
    <w:rsid w:val="00A2351A"/>
    <w:rsid w:val="00A264A9"/>
    <w:rsid w:val="00A27785"/>
    <w:rsid w:val="00A30187"/>
    <w:rsid w:val="00A3448A"/>
    <w:rsid w:val="00A36297"/>
    <w:rsid w:val="00A41E2B"/>
    <w:rsid w:val="00A45B74"/>
    <w:rsid w:val="00A52E1D"/>
    <w:rsid w:val="00A553D4"/>
    <w:rsid w:val="00A57B4C"/>
    <w:rsid w:val="00A61499"/>
    <w:rsid w:val="00A62A77"/>
    <w:rsid w:val="00A63483"/>
    <w:rsid w:val="00A657D7"/>
    <w:rsid w:val="00A660AC"/>
    <w:rsid w:val="00A67E6C"/>
    <w:rsid w:val="00A71B99"/>
    <w:rsid w:val="00A739D0"/>
    <w:rsid w:val="00A761D4"/>
    <w:rsid w:val="00A77EC4"/>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0ECA"/>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0AE"/>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37C0"/>
    <w:rsid w:val="00B54C41"/>
    <w:rsid w:val="00B60759"/>
    <w:rsid w:val="00B62AAA"/>
    <w:rsid w:val="00B62DBC"/>
    <w:rsid w:val="00B63D40"/>
    <w:rsid w:val="00B664C7"/>
    <w:rsid w:val="00B739F6"/>
    <w:rsid w:val="00B81A6C"/>
    <w:rsid w:val="00B85DE5"/>
    <w:rsid w:val="00B90F73"/>
    <w:rsid w:val="00B93B59"/>
    <w:rsid w:val="00B9406A"/>
    <w:rsid w:val="00BA2280"/>
    <w:rsid w:val="00BA2A08"/>
    <w:rsid w:val="00BA50D5"/>
    <w:rsid w:val="00BA56D2"/>
    <w:rsid w:val="00BA76E0"/>
    <w:rsid w:val="00BB2A25"/>
    <w:rsid w:val="00BB51E9"/>
    <w:rsid w:val="00BC0FDC"/>
    <w:rsid w:val="00BC3053"/>
    <w:rsid w:val="00BC4D2E"/>
    <w:rsid w:val="00BD2ED4"/>
    <w:rsid w:val="00BD48AC"/>
    <w:rsid w:val="00BD5F1A"/>
    <w:rsid w:val="00BE1234"/>
    <w:rsid w:val="00BE2FA6"/>
    <w:rsid w:val="00BE333F"/>
    <w:rsid w:val="00BE7406"/>
    <w:rsid w:val="00BE7603"/>
    <w:rsid w:val="00BF3279"/>
    <w:rsid w:val="00BF74C7"/>
    <w:rsid w:val="00C015F1"/>
    <w:rsid w:val="00C01F33"/>
    <w:rsid w:val="00C02CC6"/>
    <w:rsid w:val="00C037C5"/>
    <w:rsid w:val="00C040F7"/>
    <w:rsid w:val="00C041B0"/>
    <w:rsid w:val="00C044AB"/>
    <w:rsid w:val="00C05706"/>
    <w:rsid w:val="00C07377"/>
    <w:rsid w:val="00C10478"/>
    <w:rsid w:val="00C12107"/>
    <w:rsid w:val="00C14D4B"/>
    <w:rsid w:val="00C154BB"/>
    <w:rsid w:val="00C249E1"/>
    <w:rsid w:val="00C26FAA"/>
    <w:rsid w:val="00C279B5"/>
    <w:rsid w:val="00C27C45"/>
    <w:rsid w:val="00C301A1"/>
    <w:rsid w:val="00C30DAC"/>
    <w:rsid w:val="00C3719D"/>
    <w:rsid w:val="00C519BE"/>
    <w:rsid w:val="00C544D5"/>
    <w:rsid w:val="00C54995"/>
    <w:rsid w:val="00C54D41"/>
    <w:rsid w:val="00C60783"/>
    <w:rsid w:val="00C64672"/>
    <w:rsid w:val="00C67EAE"/>
    <w:rsid w:val="00C70697"/>
    <w:rsid w:val="00C71E26"/>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25BB"/>
    <w:rsid w:val="00CC3EA0"/>
    <w:rsid w:val="00CC6703"/>
    <w:rsid w:val="00CC7B45"/>
    <w:rsid w:val="00CD1188"/>
    <w:rsid w:val="00CD1D69"/>
    <w:rsid w:val="00CD2ED1"/>
    <w:rsid w:val="00CD337B"/>
    <w:rsid w:val="00CE0424"/>
    <w:rsid w:val="00CE2868"/>
    <w:rsid w:val="00CE7561"/>
    <w:rsid w:val="00CF1354"/>
    <w:rsid w:val="00CF3B1F"/>
    <w:rsid w:val="00CF3BF6"/>
    <w:rsid w:val="00CF625B"/>
    <w:rsid w:val="00CF687E"/>
    <w:rsid w:val="00D0349B"/>
    <w:rsid w:val="00D04434"/>
    <w:rsid w:val="00D06D8F"/>
    <w:rsid w:val="00D07946"/>
    <w:rsid w:val="00D10249"/>
    <w:rsid w:val="00D115C3"/>
    <w:rsid w:val="00D11897"/>
    <w:rsid w:val="00D13135"/>
    <w:rsid w:val="00D13E4E"/>
    <w:rsid w:val="00D15E96"/>
    <w:rsid w:val="00D239A7"/>
    <w:rsid w:val="00D23F47"/>
    <w:rsid w:val="00D3005B"/>
    <w:rsid w:val="00D36E71"/>
    <w:rsid w:val="00D37D87"/>
    <w:rsid w:val="00D40B33"/>
    <w:rsid w:val="00D4318F"/>
    <w:rsid w:val="00D438BF"/>
    <w:rsid w:val="00D440F8"/>
    <w:rsid w:val="00D536F0"/>
    <w:rsid w:val="00D546FF"/>
    <w:rsid w:val="00D549B8"/>
    <w:rsid w:val="00D55AD5"/>
    <w:rsid w:val="00D576CA"/>
    <w:rsid w:val="00D60E13"/>
    <w:rsid w:val="00D61AF5"/>
    <w:rsid w:val="00D62CD5"/>
    <w:rsid w:val="00D6435F"/>
    <w:rsid w:val="00D652B5"/>
    <w:rsid w:val="00D66155"/>
    <w:rsid w:val="00D708B0"/>
    <w:rsid w:val="00D709C1"/>
    <w:rsid w:val="00D70E73"/>
    <w:rsid w:val="00D725FC"/>
    <w:rsid w:val="00D77B1D"/>
    <w:rsid w:val="00D8021F"/>
    <w:rsid w:val="00D80383"/>
    <w:rsid w:val="00D823C6"/>
    <w:rsid w:val="00D86CA3"/>
    <w:rsid w:val="00D871CE"/>
    <w:rsid w:val="00D9196D"/>
    <w:rsid w:val="00D91C37"/>
    <w:rsid w:val="00D92982"/>
    <w:rsid w:val="00D93CE6"/>
    <w:rsid w:val="00DA305E"/>
    <w:rsid w:val="00DA5007"/>
    <w:rsid w:val="00DA5417"/>
    <w:rsid w:val="00DA56E8"/>
    <w:rsid w:val="00DB090C"/>
    <w:rsid w:val="00DB0A9F"/>
    <w:rsid w:val="00DB377D"/>
    <w:rsid w:val="00DC23AE"/>
    <w:rsid w:val="00DC2D36"/>
    <w:rsid w:val="00DC53EF"/>
    <w:rsid w:val="00DE435B"/>
    <w:rsid w:val="00DE44F6"/>
    <w:rsid w:val="00DE5608"/>
    <w:rsid w:val="00DE58D0"/>
    <w:rsid w:val="00DE654F"/>
    <w:rsid w:val="00DF0B6E"/>
    <w:rsid w:val="00DF15E0"/>
    <w:rsid w:val="00DF37A0"/>
    <w:rsid w:val="00DF5C56"/>
    <w:rsid w:val="00E02A89"/>
    <w:rsid w:val="00E110E7"/>
    <w:rsid w:val="00E11B20"/>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37A11"/>
    <w:rsid w:val="00E446F1"/>
    <w:rsid w:val="00E46886"/>
    <w:rsid w:val="00E478FE"/>
    <w:rsid w:val="00E47AEF"/>
    <w:rsid w:val="00E53B75"/>
    <w:rsid w:val="00E54D82"/>
    <w:rsid w:val="00E54E3B"/>
    <w:rsid w:val="00E55285"/>
    <w:rsid w:val="00E57565"/>
    <w:rsid w:val="00E63838"/>
    <w:rsid w:val="00E64434"/>
    <w:rsid w:val="00E67C51"/>
    <w:rsid w:val="00E72EFC"/>
    <w:rsid w:val="00E758EC"/>
    <w:rsid w:val="00E7756B"/>
    <w:rsid w:val="00E8234C"/>
    <w:rsid w:val="00E83AA9"/>
    <w:rsid w:val="00E84D36"/>
    <w:rsid w:val="00E85928"/>
    <w:rsid w:val="00E85D5C"/>
    <w:rsid w:val="00E86B7C"/>
    <w:rsid w:val="00E87822"/>
    <w:rsid w:val="00E90395"/>
    <w:rsid w:val="00E90E49"/>
    <w:rsid w:val="00E917F9"/>
    <w:rsid w:val="00E9291C"/>
    <w:rsid w:val="00E93FFE"/>
    <w:rsid w:val="00E94F8A"/>
    <w:rsid w:val="00EA320E"/>
    <w:rsid w:val="00EA5EF9"/>
    <w:rsid w:val="00EA7A41"/>
    <w:rsid w:val="00EB077B"/>
    <w:rsid w:val="00EB4EA2"/>
    <w:rsid w:val="00EC27C6"/>
    <w:rsid w:val="00EC4207"/>
    <w:rsid w:val="00EC5653"/>
    <w:rsid w:val="00EC60B5"/>
    <w:rsid w:val="00EC71CE"/>
    <w:rsid w:val="00ED1006"/>
    <w:rsid w:val="00EE111C"/>
    <w:rsid w:val="00EF09A8"/>
    <w:rsid w:val="00EF18FE"/>
    <w:rsid w:val="00EF5787"/>
    <w:rsid w:val="00EF60D0"/>
    <w:rsid w:val="00F0528D"/>
    <w:rsid w:val="00F06C67"/>
    <w:rsid w:val="00F06DFD"/>
    <w:rsid w:val="00F071D1"/>
    <w:rsid w:val="00F07533"/>
    <w:rsid w:val="00F07FCC"/>
    <w:rsid w:val="00F103CA"/>
    <w:rsid w:val="00F10629"/>
    <w:rsid w:val="00F11AB0"/>
    <w:rsid w:val="00F142A1"/>
    <w:rsid w:val="00F15FA5"/>
    <w:rsid w:val="00F209B7"/>
    <w:rsid w:val="00F2376F"/>
    <w:rsid w:val="00F243D8"/>
    <w:rsid w:val="00F30828"/>
    <w:rsid w:val="00F313D6"/>
    <w:rsid w:val="00F40F0C"/>
    <w:rsid w:val="00F4766C"/>
    <w:rsid w:val="00F507D1"/>
    <w:rsid w:val="00F519CE"/>
    <w:rsid w:val="00F51ADA"/>
    <w:rsid w:val="00F60494"/>
    <w:rsid w:val="00F607C5"/>
    <w:rsid w:val="00F60DEA"/>
    <w:rsid w:val="00F6302A"/>
    <w:rsid w:val="00F64C2B"/>
    <w:rsid w:val="00F651BE"/>
    <w:rsid w:val="00F6793B"/>
    <w:rsid w:val="00F67F53"/>
    <w:rsid w:val="00F703BE"/>
    <w:rsid w:val="00F71085"/>
    <w:rsid w:val="00F71F69"/>
    <w:rsid w:val="00F72052"/>
    <w:rsid w:val="00F72B72"/>
    <w:rsid w:val="00F74BB9"/>
    <w:rsid w:val="00F75582"/>
    <w:rsid w:val="00F75A7F"/>
    <w:rsid w:val="00F76EFA"/>
    <w:rsid w:val="00F804BE"/>
    <w:rsid w:val="00F817CE"/>
    <w:rsid w:val="00F81C35"/>
    <w:rsid w:val="00F840D2"/>
    <w:rsid w:val="00F8456C"/>
    <w:rsid w:val="00F85220"/>
    <w:rsid w:val="00F859D8"/>
    <w:rsid w:val="00F868F5"/>
    <w:rsid w:val="00F90232"/>
    <w:rsid w:val="00F9056A"/>
    <w:rsid w:val="00F90F8D"/>
    <w:rsid w:val="00F92782"/>
    <w:rsid w:val="00F93AA9"/>
    <w:rsid w:val="00F96985"/>
    <w:rsid w:val="00F96D49"/>
    <w:rsid w:val="00F97838"/>
    <w:rsid w:val="00FA2BB3"/>
    <w:rsid w:val="00FA2E09"/>
    <w:rsid w:val="00FB4C80"/>
    <w:rsid w:val="00FB6A6A"/>
    <w:rsid w:val="00FC4AD0"/>
    <w:rsid w:val="00FC5D04"/>
    <w:rsid w:val="00FC7429"/>
    <w:rsid w:val="00FD07F6"/>
    <w:rsid w:val="00FD1EC8"/>
    <w:rsid w:val="00FD3FB3"/>
    <w:rsid w:val="00FD47ED"/>
    <w:rsid w:val="00FD575F"/>
    <w:rsid w:val="00FD5822"/>
    <w:rsid w:val="00FD74DB"/>
    <w:rsid w:val="00FD7660"/>
    <w:rsid w:val="00FE0655"/>
    <w:rsid w:val="00FE2365"/>
    <w:rsid w:val="00FE2A3F"/>
    <w:rsid w:val="00FE4C7B"/>
    <w:rsid w:val="00FE55C5"/>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15:docId w15:val="{D0148925-F98E-4D2D-ACE8-6693F900B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A0BB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7A0BB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A0BB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A0BBA"/>
    <w:pPr>
      <w:numPr>
        <w:ilvl w:val="2"/>
      </w:numPr>
      <w:spacing w:before="120"/>
      <w:outlineLvl w:val="2"/>
    </w:pPr>
    <w:rPr>
      <w:sz w:val="28"/>
      <w:szCs w:val="28"/>
    </w:rPr>
  </w:style>
  <w:style w:type="paragraph" w:styleId="Heading4">
    <w:name w:val="heading 4"/>
    <w:basedOn w:val="Heading3"/>
    <w:next w:val="Normal"/>
    <w:qFormat/>
    <w:rsid w:val="007A0BBA"/>
    <w:pPr>
      <w:numPr>
        <w:ilvl w:val="3"/>
      </w:numPr>
      <w:outlineLvl w:val="3"/>
    </w:pPr>
    <w:rPr>
      <w:sz w:val="24"/>
      <w:szCs w:val="24"/>
    </w:rPr>
  </w:style>
  <w:style w:type="paragraph" w:styleId="Heading5">
    <w:name w:val="heading 5"/>
    <w:basedOn w:val="Heading4"/>
    <w:next w:val="Normal"/>
    <w:qFormat/>
    <w:rsid w:val="007A0BBA"/>
    <w:pPr>
      <w:numPr>
        <w:ilvl w:val="4"/>
      </w:numPr>
      <w:outlineLvl w:val="4"/>
    </w:pPr>
    <w:rPr>
      <w:sz w:val="22"/>
      <w:szCs w:val="22"/>
    </w:rPr>
  </w:style>
  <w:style w:type="paragraph" w:styleId="Heading6">
    <w:name w:val="heading 6"/>
    <w:basedOn w:val="Normal"/>
    <w:next w:val="Normal"/>
    <w:qFormat/>
    <w:rsid w:val="007A0BBA"/>
    <w:pPr>
      <w:keepNext/>
      <w:keepLines/>
      <w:numPr>
        <w:ilvl w:val="5"/>
        <w:numId w:val="1"/>
      </w:numPr>
      <w:spacing w:before="120"/>
      <w:outlineLvl w:val="5"/>
    </w:pPr>
    <w:rPr>
      <w:rFonts w:cs="Arial"/>
    </w:rPr>
  </w:style>
  <w:style w:type="paragraph" w:styleId="Heading7">
    <w:name w:val="heading 7"/>
    <w:basedOn w:val="Normal"/>
    <w:next w:val="Normal"/>
    <w:qFormat/>
    <w:rsid w:val="007A0BBA"/>
    <w:pPr>
      <w:keepNext/>
      <w:keepLines/>
      <w:numPr>
        <w:ilvl w:val="6"/>
        <w:numId w:val="1"/>
      </w:numPr>
      <w:spacing w:before="120"/>
      <w:outlineLvl w:val="6"/>
    </w:pPr>
    <w:rPr>
      <w:rFonts w:cs="Arial"/>
    </w:rPr>
  </w:style>
  <w:style w:type="paragraph" w:styleId="Heading8">
    <w:name w:val="heading 8"/>
    <w:basedOn w:val="Heading7"/>
    <w:next w:val="Normal"/>
    <w:qFormat/>
    <w:rsid w:val="007A0BBA"/>
    <w:pPr>
      <w:numPr>
        <w:ilvl w:val="7"/>
      </w:numPr>
      <w:outlineLvl w:val="7"/>
    </w:pPr>
  </w:style>
  <w:style w:type="paragraph" w:styleId="Heading9">
    <w:name w:val="heading 9"/>
    <w:basedOn w:val="Heading8"/>
    <w:next w:val="Normal"/>
    <w:qFormat/>
    <w:rsid w:val="007A0B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A0BBA"/>
    <w:pPr>
      <w:spacing w:before="180"/>
      <w:ind w:left="2693" w:hanging="2693"/>
    </w:pPr>
    <w:rPr>
      <w:b w:val="0"/>
      <w:bCs/>
    </w:rPr>
  </w:style>
  <w:style w:type="paragraph" w:styleId="TOC1">
    <w:name w:val="toc 1"/>
    <w:aliases w:val="Observation TOC2"/>
    <w:uiPriority w:val="39"/>
    <w:rsid w:val="007A0BB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A0BBA"/>
    <w:pPr>
      <w:keepNext/>
      <w:keepLines/>
      <w:spacing w:before="180"/>
      <w:jc w:val="center"/>
    </w:pPr>
  </w:style>
  <w:style w:type="paragraph" w:styleId="Caption">
    <w:name w:val="caption"/>
    <w:basedOn w:val="Normal"/>
    <w:next w:val="Normal"/>
    <w:qFormat/>
    <w:rsid w:val="007A0BBA"/>
    <w:pPr>
      <w:spacing w:after="240"/>
      <w:jc w:val="center"/>
    </w:pPr>
    <w:rPr>
      <w:b/>
      <w:bCs/>
    </w:rPr>
  </w:style>
  <w:style w:type="paragraph" w:styleId="TOC5">
    <w:name w:val="toc 5"/>
    <w:aliases w:val="Observation TOC"/>
    <w:basedOn w:val="TOC4"/>
    <w:semiHidden/>
    <w:rsid w:val="007A0BBA"/>
    <w:pPr>
      <w:tabs>
        <w:tab w:val="right" w:pos="1701"/>
      </w:tabs>
      <w:ind w:left="1701" w:hanging="1701"/>
    </w:pPr>
  </w:style>
  <w:style w:type="paragraph" w:styleId="TOC4">
    <w:name w:val="toc 4"/>
    <w:basedOn w:val="TOC3"/>
    <w:semiHidden/>
    <w:rsid w:val="007A0BBA"/>
    <w:pPr>
      <w:ind w:left="1418" w:hanging="1418"/>
    </w:pPr>
  </w:style>
  <w:style w:type="paragraph" w:styleId="TOC3">
    <w:name w:val="toc 3"/>
    <w:basedOn w:val="TOC2"/>
    <w:semiHidden/>
    <w:rsid w:val="007A0BBA"/>
    <w:pPr>
      <w:ind w:left="1134" w:hanging="1134"/>
    </w:pPr>
  </w:style>
  <w:style w:type="paragraph" w:styleId="TOC2">
    <w:name w:val="toc 2"/>
    <w:basedOn w:val="TOC1"/>
    <w:semiHidden/>
    <w:rsid w:val="007A0BBA"/>
    <w:pPr>
      <w:keepNext w:val="0"/>
      <w:spacing w:before="0"/>
      <w:ind w:left="851" w:hanging="851"/>
    </w:pPr>
    <w:rPr>
      <w:szCs w:val="20"/>
    </w:rPr>
  </w:style>
  <w:style w:type="paragraph" w:styleId="Index2">
    <w:name w:val="index 2"/>
    <w:basedOn w:val="Index1"/>
    <w:semiHidden/>
    <w:rsid w:val="007A0BBA"/>
    <w:pPr>
      <w:ind w:left="284"/>
    </w:pPr>
  </w:style>
  <w:style w:type="paragraph" w:styleId="Index1">
    <w:name w:val="index 1"/>
    <w:basedOn w:val="Normal"/>
    <w:semiHidden/>
    <w:rsid w:val="007A0BBA"/>
    <w:pPr>
      <w:keepLines/>
      <w:spacing w:after="0"/>
    </w:pPr>
  </w:style>
  <w:style w:type="paragraph" w:styleId="DocumentMap">
    <w:name w:val="Document Map"/>
    <w:basedOn w:val="Normal"/>
    <w:semiHidden/>
    <w:rsid w:val="007A0BBA"/>
    <w:pPr>
      <w:shd w:val="clear" w:color="auto" w:fill="000080"/>
    </w:pPr>
    <w:rPr>
      <w:rFonts w:ascii="Tahoma" w:hAnsi="Tahoma" w:cs="Tahoma"/>
    </w:rPr>
  </w:style>
  <w:style w:type="paragraph" w:styleId="ListNumber2">
    <w:name w:val="List Number 2"/>
    <w:basedOn w:val="ListNumber"/>
    <w:rsid w:val="007A0BBA"/>
    <w:pPr>
      <w:ind w:left="851"/>
    </w:pPr>
  </w:style>
  <w:style w:type="paragraph" w:styleId="ListNumber">
    <w:name w:val="List Number"/>
    <w:basedOn w:val="List"/>
    <w:rsid w:val="007A0BBA"/>
  </w:style>
  <w:style w:type="paragraph" w:styleId="List">
    <w:name w:val="List"/>
    <w:basedOn w:val="Normal"/>
    <w:rsid w:val="007A0BBA"/>
    <w:pPr>
      <w:ind w:left="568" w:hanging="284"/>
    </w:pPr>
  </w:style>
  <w:style w:type="paragraph" w:styleId="Header">
    <w:name w:val="header"/>
    <w:rsid w:val="007A0BBA"/>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A0BBA"/>
    <w:rPr>
      <w:b/>
      <w:bCs/>
      <w:position w:val="6"/>
      <w:sz w:val="16"/>
      <w:szCs w:val="16"/>
    </w:rPr>
  </w:style>
  <w:style w:type="paragraph" w:styleId="FootnoteText">
    <w:name w:val="footnote text"/>
    <w:basedOn w:val="Normal"/>
    <w:semiHidden/>
    <w:rsid w:val="007A0BBA"/>
    <w:pPr>
      <w:keepLines/>
      <w:spacing w:after="0"/>
      <w:ind w:left="454" w:hanging="454"/>
    </w:pPr>
    <w:rPr>
      <w:sz w:val="16"/>
      <w:szCs w:val="16"/>
    </w:rPr>
  </w:style>
  <w:style w:type="paragraph" w:customStyle="1" w:styleId="3GPPHeader">
    <w:name w:val="3GPP_Header"/>
    <w:basedOn w:val="Normal"/>
    <w:rsid w:val="007A0BBA"/>
    <w:pPr>
      <w:tabs>
        <w:tab w:val="left" w:pos="1701"/>
        <w:tab w:val="right" w:pos="9639"/>
      </w:tabs>
      <w:spacing w:after="240"/>
    </w:pPr>
    <w:rPr>
      <w:b/>
      <w:sz w:val="24"/>
    </w:rPr>
  </w:style>
  <w:style w:type="paragraph" w:styleId="TOC9">
    <w:name w:val="toc 9"/>
    <w:basedOn w:val="TOC8"/>
    <w:semiHidden/>
    <w:rsid w:val="007A0BBA"/>
    <w:pPr>
      <w:ind w:left="1418" w:hanging="1418"/>
    </w:pPr>
  </w:style>
  <w:style w:type="paragraph" w:styleId="TOC6">
    <w:name w:val="toc 6"/>
    <w:basedOn w:val="TOC5"/>
    <w:next w:val="Normal"/>
    <w:semiHidden/>
    <w:rsid w:val="007A0BBA"/>
    <w:pPr>
      <w:ind w:left="1985" w:hanging="1985"/>
    </w:pPr>
  </w:style>
  <w:style w:type="paragraph" w:styleId="TOC7">
    <w:name w:val="toc 7"/>
    <w:basedOn w:val="TOC6"/>
    <w:next w:val="Normal"/>
    <w:semiHidden/>
    <w:rsid w:val="007A0BBA"/>
    <w:pPr>
      <w:ind w:left="2268" w:hanging="2268"/>
    </w:pPr>
  </w:style>
  <w:style w:type="paragraph" w:styleId="ListBullet2">
    <w:name w:val="List Bullet 2"/>
    <w:basedOn w:val="ListBullet"/>
    <w:rsid w:val="007A0BBA"/>
    <w:pPr>
      <w:numPr>
        <w:numId w:val="6"/>
      </w:numPr>
    </w:pPr>
  </w:style>
  <w:style w:type="paragraph" w:styleId="ListBullet">
    <w:name w:val="List Bullet"/>
    <w:basedOn w:val="BodyText"/>
    <w:rsid w:val="007A0BBA"/>
    <w:pPr>
      <w:numPr>
        <w:numId w:val="5"/>
      </w:numPr>
    </w:pPr>
  </w:style>
  <w:style w:type="paragraph" w:styleId="ListBullet3">
    <w:name w:val="List Bullet 3"/>
    <w:basedOn w:val="ListBullet2"/>
    <w:rsid w:val="007A0BBA"/>
    <w:pPr>
      <w:numPr>
        <w:numId w:val="7"/>
      </w:numPr>
    </w:pPr>
  </w:style>
  <w:style w:type="paragraph" w:customStyle="1" w:styleId="EQ">
    <w:name w:val="EQ"/>
    <w:basedOn w:val="Normal"/>
    <w:next w:val="Normal"/>
    <w:rsid w:val="007A0BBA"/>
    <w:pPr>
      <w:keepLines/>
      <w:tabs>
        <w:tab w:val="center" w:pos="4536"/>
        <w:tab w:val="right" w:pos="9072"/>
      </w:tabs>
      <w:spacing w:after="180"/>
      <w:jc w:val="left"/>
    </w:pPr>
    <w:rPr>
      <w:noProof/>
      <w:lang w:eastAsia="en-US"/>
    </w:rPr>
  </w:style>
  <w:style w:type="paragraph" w:styleId="List2">
    <w:name w:val="List 2"/>
    <w:basedOn w:val="List"/>
    <w:rsid w:val="007A0BBA"/>
    <w:pPr>
      <w:ind w:left="851"/>
    </w:pPr>
  </w:style>
  <w:style w:type="paragraph" w:styleId="List3">
    <w:name w:val="List 3"/>
    <w:basedOn w:val="List2"/>
    <w:rsid w:val="007A0BBA"/>
    <w:pPr>
      <w:ind w:left="1135"/>
    </w:pPr>
  </w:style>
  <w:style w:type="paragraph" w:styleId="List4">
    <w:name w:val="List 4"/>
    <w:basedOn w:val="List3"/>
    <w:rsid w:val="007A0BBA"/>
    <w:pPr>
      <w:ind w:left="1418"/>
    </w:pPr>
  </w:style>
  <w:style w:type="paragraph" w:styleId="List5">
    <w:name w:val="List 5"/>
    <w:basedOn w:val="List4"/>
    <w:rsid w:val="007A0BBA"/>
    <w:pPr>
      <w:ind w:left="1702"/>
    </w:pPr>
  </w:style>
  <w:style w:type="paragraph" w:customStyle="1" w:styleId="EditorsNote">
    <w:name w:val="Editor's Note"/>
    <w:basedOn w:val="Normal"/>
    <w:rsid w:val="007A0BBA"/>
    <w:pPr>
      <w:keepLines/>
      <w:spacing w:after="180"/>
      <w:ind w:left="1135" w:hanging="851"/>
      <w:jc w:val="left"/>
    </w:pPr>
    <w:rPr>
      <w:color w:val="FF0000"/>
      <w:lang w:eastAsia="en-US"/>
    </w:rPr>
  </w:style>
  <w:style w:type="paragraph" w:styleId="ListBullet4">
    <w:name w:val="List Bullet 4"/>
    <w:basedOn w:val="ListBullet3"/>
    <w:rsid w:val="007A0BBA"/>
    <w:pPr>
      <w:numPr>
        <w:numId w:val="8"/>
      </w:numPr>
    </w:pPr>
  </w:style>
  <w:style w:type="paragraph" w:styleId="ListBullet5">
    <w:name w:val="List Bullet 5"/>
    <w:basedOn w:val="ListBullet4"/>
    <w:rsid w:val="007A0BBA"/>
    <w:pPr>
      <w:numPr>
        <w:numId w:val="4"/>
      </w:numPr>
    </w:pPr>
  </w:style>
  <w:style w:type="paragraph" w:styleId="Footer">
    <w:name w:val="footer"/>
    <w:basedOn w:val="Header"/>
    <w:semiHidden/>
    <w:rsid w:val="007A0BBA"/>
    <w:pPr>
      <w:jc w:val="center"/>
    </w:pPr>
    <w:rPr>
      <w:i/>
      <w:iCs/>
    </w:rPr>
  </w:style>
  <w:style w:type="paragraph" w:customStyle="1" w:styleId="Reference">
    <w:name w:val="Reference"/>
    <w:basedOn w:val="Normal"/>
    <w:rsid w:val="007A0BBA"/>
    <w:pPr>
      <w:numPr>
        <w:numId w:val="2"/>
      </w:numPr>
    </w:pPr>
  </w:style>
  <w:style w:type="paragraph" w:styleId="BalloonText">
    <w:name w:val="Balloon Text"/>
    <w:basedOn w:val="Normal"/>
    <w:semiHidden/>
    <w:rsid w:val="007A0BBA"/>
    <w:rPr>
      <w:rFonts w:ascii="Tahoma" w:hAnsi="Tahoma" w:cs="Tahoma"/>
      <w:sz w:val="16"/>
      <w:szCs w:val="16"/>
    </w:rPr>
  </w:style>
  <w:style w:type="character" w:styleId="PageNumber">
    <w:name w:val="page number"/>
    <w:semiHidden/>
    <w:rsid w:val="007A0BBA"/>
  </w:style>
  <w:style w:type="paragraph" w:styleId="BodyText">
    <w:name w:val="Body Text"/>
    <w:basedOn w:val="Normal"/>
    <w:link w:val="BodyTextChar"/>
    <w:rsid w:val="007A0BBA"/>
  </w:style>
  <w:style w:type="character" w:styleId="Hyperlink">
    <w:name w:val="Hyperlink"/>
    <w:uiPriority w:val="99"/>
    <w:rsid w:val="007A0BBA"/>
    <w:rPr>
      <w:color w:val="0000FF"/>
      <w:u w:val="single"/>
      <w:lang w:val="en-GB"/>
    </w:rPr>
  </w:style>
  <w:style w:type="character" w:styleId="FollowedHyperlink">
    <w:name w:val="FollowedHyperlink"/>
    <w:semiHidden/>
    <w:rsid w:val="007A0BBA"/>
    <w:rPr>
      <w:color w:val="FF0000"/>
      <w:u w:val="single"/>
    </w:rPr>
  </w:style>
  <w:style w:type="character" w:styleId="CommentReference">
    <w:name w:val="annotation reference"/>
    <w:semiHidden/>
    <w:rsid w:val="007A0BBA"/>
    <w:rPr>
      <w:sz w:val="16"/>
      <w:szCs w:val="16"/>
    </w:rPr>
  </w:style>
  <w:style w:type="paragraph" w:styleId="CommentText">
    <w:name w:val="annotation text"/>
    <w:basedOn w:val="Normal"/>
    <w:semiHidden/>
    <w:rsid w:val="007A0BBA"/>
  </w:style>
  <w:style w:type="paragraph" w:styleId="CommentSubject">
    <w:name w:val="annotation subject"/>
    <w:basedOn w:val="CommentText"/>
    <w:next w:val="CommentText"/>
    <w:semiHidden/>
    <w:rsid w:val="007A0BBA"/>
    <w:rPr>
      <w:b/>
      <w:bCs/>
    </w:rPr>
  </w:style>
  <w:style w:type="character" w:customStyle="1" w:styleId="Heading1Char">
    <w:name w:val="Heading 1 Char"/>
    <w:link w:val="Heading1"/>
    <w:rsid w:val="007A0BBA"/>
    <w:rPr>
      <w:rFonts w:ascii="Arial" w:hAnsi="Arial" w:cs="Arial"/>
      <w:sz w:val="36"/>
      <w:szCs w:val="36"/>
      <w:lang w:val="en-GB"/>
    </w:rPr>
  </w:style>
  <w:style w:type="paragraph" w:customStyle="1" w:styleId="B1">
    <w:name w:val="B1"/>
    <w:basedOn w:val="List"/>
    <w:link w:val="B1Char"/>
    <w:rsid w:val="007A0BBA"/>
    <w:pPr>
      <w:spacing w:after="180"/>
      <w:jc w:val="left"/>
    </w:pPr>
    <w:rPr>
      <w:lang w:eastAsia="en-US"/>
    </w:rPr>
  </w:style>
  <w:style w:type="paragraph" w:customStyle="1" w:styleId="B2">
    <w:name w:val="B2"/>
    <w:basedOn w:val="List2"/>
    <w:rsid w:val="007A0BBA"/>
    <w:pPr>
      <w:spacing w:after="180"/>
      <w:jc w:val="left"/>
    </w:pPr>
    <w:rPr>
      <w:lang w:eastAsia="en-US"/>
    </w:rPr>
  </w:style>
  <w:style w:type="paragraph" w:customStyle="1" w:styleId="B3">
    <w:name w:val="B3"/>
    <w:basedOn w:val="List3"/>
    <w:rsid w:val="007A0BBA"/>
    <w:pPr>
      <w:spacing w:after="180"/>
      <w:jc w:val="left"/>
    </w:pPr>
    <w:rPr>
      <w:lang w:eastAsia="en-US"/>
    </w:rPr>
  </w:style>
  <w:style w:type="paragraph" w:customStyle="1" w:styleId="B4">
    <w:name w:val="B4"/>
    <w:basedOn w:val="List4"/>
    <w:rsid w:val="007A0BBA"/>
    <w:pPr>
      <w:spacing w:after="180"/>
      <w:jc w:val="left"/>
    </w:pPr>
    <w:rPr>
      <w:lang w:eastAsia="en-US"/>
    </w:rPr>
  </w:style>
  <w:style w:type="paragraph" w:customStyle="1" w:styleId="Proposal">
    <w:name w:val="Proposal"/>
    <w:basedOn w:val="Normal"/>
    <w:rsid w:val="007A0BBA"/>
    <w:pPr>
      <w:numPr>
        <w:numId w:val="3"/>
      </w:numPr>
      <w:tabs>
        <w:tab w:val="clear" w:pos="1304"/>
        <w:tab w:val="left" w:pos="1701"/>
      </w:tabs>
      <w:ind w:left="1701" w:hanging="1701"/>
    </w:pPr>
    <w:rPr>
      <w:b/>
      <w:bCs/>
    </w:rPr>
  </w:style>
  <w:style w:type="character" w:customStyle="1" w:styleId="BodyTextChar">
    <w:name w:val="Body Text Char"/>
    <w:link w:val="BodyText"/>
    <w:rsid w:val="007A0BBA"/>
    <w:rPr>
      <w:rFonts w:ascii="Arial" w:hAnsi="Arial"/>
      <w:lang w:val="en-GB"/>
    </w:rPr>
  </w:style>
  <w:style w:type="paragraph" w:customStyle="1" w:styleId="B5">
    <w:name w:val="B5"/>
    <w:basedOn w:val="List5"/>
    <w:rsid w:val="007A0BBA"/>
    <w:pPr>
      <w:spacing w:after="180"/>
      <w:jc w:val="left"/>
    </w:pPr>
    <w:rPr>
      <w:lang w:eastAsia="en-US"/>
    </w:rPr>
  </w:style>
  <w:style w:type="paragraph" w:customStyle="1" w:styleId="EX">
    <w:name w:val="EX"/>
    <w:basedOn w:val="Normal"/>
    <w:rsid w:val="007A0BBA"/>
    <w:pPr>
      <w:keepLines/>
      <w:spacing w:after="180"/>
      <w:ind w:left="1702" w:hanging="1418"/>
      <w:jc w:val="left"/>
    </w:pPr>
    <w:rPr>
      <w:lang w:eastAsia="en-US"/>
    </w:rPr>
  </w:style>
  <w:style w:type="paragraph" w:customStyle="1" w:styleId="EW">
    <w:name w:val="EW"/>
    <w:basedOn w:val="EX"/>
    <w:rsid w:val="007A0BBA"/>
    <w:pPr>
      <w:spacing w:after="0"/>
    </w:pPr>
  </w:style>
  <w:style w:type="paragraph" w:customStyle="1" w:styleId="TAL">
    <w:name w:val="TAL"/>
    <w:basedOn w:val="Normal"/>
    <w:rsid w:val="007A0BBA"/>
    <w:pPr>
      <w:keepNext/>
      <w:keepLines/>
      <w:spacing w:after="0"/>
      <w:jc w:val="left"/>
    </w:pPr>
    <w:rPr>
      <w:sz w:val="18"/>
      <w:lang w:eastAsia="en-US"/>
    </w:rPr>
  </w:style>
  <w:style w:type="paragraph" w:customStyle="1" w:styleId="TAC">
    <w:name w:val="TAC"/>
    <w:basedOn w:val="TAL"/>
    <w:rsid w:val="007A0BBA"/>
    <w:pPr>
      <w:jc w:val="center"/>
    </w:pPr>
  </w:style>
  <w:style w:type="paragraph" w:customStyle="1" w:styleId="TAH">
    <w:name w:val="TAH"/>
    <w:basedOn w:val="TAC"/>
    <w:rsid w:val="007A0BBA"/>
    <w:rPr>
      <w:b/>
    </w:rPr>
  </w:style>
  <w:style w:type="paragraph" w:customStyle="1" w:styleId="TAN">
    <w:name w:val="TAN"/>
    <w:basedOn w:val="TAL"/>
    <w:rsid w:val="007A0BBA"/>
    <w:pPr>
      <w:ind w:left="851" w:hanging="851"/>
    </w:pPr>
  </w:style>
  <w:style w:type="paragraph" w:customStyle="1" w:styleId="TAR">
    <w:name w:val="TAR"/>
    <w:basedOn w:val="TAL"/>
    <w:rsid w:val="007A0BBA"/>
    <w:pPr>
      <w:jc w:val="right"/>
    </w:pPr>
  </w:style>
  <w:style w:type="paragraph" w:customStyle="1" w:styleId="TH">
    <w:name w:val="TH"/>
    <w:basedOn w:val="Normal"/>
    <w:rsid w:val="007A0BBA"/>
    <w:pPr>
      <w:keepNext/>
      <w:keepLines/>
      <w:spacing w:before="60" w:after="180"/>
      <w:jc w:val="center"/>
    </w:pPr>
    <w:rPr>
      <w:b/>
      <w:lang w:eastAsia="en-US"/>
    </w:rPr>
  </w:style>
  <w:style w:type="paragraph" w:customStyle="1" w:styleId="TF">
    <w:name w:val="TF"/>
    <w:basedOn w:val="TH"/>
    <w:rsid w:val="007A0BBA"/>
    <w:pPr>
      <w:keepNext w:val="0"/>
      <w:spacing w:before="0" w:after="240"/>
    </w:pPr>
  </w:style>
  <w:style w:type="paragraph" w:customStyle="1" w:styleId="TT">
    <w:name w:val="TT"/>
    <w:basedOn w:val="Heading1"/>
    <w:next w:val="Normal"/>
    <w:rsid w:val="007A0BBA"/>
    <w:pPr>
      <w:numPr>
        <w:numId w:val="0"/>
      </w:numPr>
      <w:ind w:left="1134" w:hanging="1134"/>
      <w:outlineLvl w:val="9"/>
    </w:pPr>
    <w:rPr>
      <w:rFonts w:cs="Times New Roman"/>
      <w:szCs w:val="20"/>
      <w:lang w:eastAsia="en-US"/>
    </w:rPr>
  </w:style>
  <w:style w:type="paragraph" w:customStyle="1" w:styleId="ZA">
    <w:name w:val="ZA"/>
    <w:rsid w:val="007A0B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A0B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A0BB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A0B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A0BBA"/>
  </w:style>
  <w:style w:type="paragraph" w:customStyle="1" w:styleId="ZH">
    <w:name w:val="ZH"/>
    <w:rsid w:val="007A0BB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A0B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A0BBA"/>
    <w:pPr>
      <w:framePr w:hRule="auto" w:wrap="notBeside" w:y="852"/>
    </w:pPr>
    <w:rPr>
      <w:i w:val="0"/>
      <w:sz w:val="40"/>
    </w:rPr>
  </w:style>
  <w:style w:type="paragraph" w:customStyle="1" w:styleId="ZU">
    <w:name w:val="ZU"/>
    <w:rsid w:val="007A0B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A0BBA"/>
    <w:pPr>
      <w:framePr w:wrap="notBeside" w:y="16161"/>
    </w:pPr>
  </w:style>
  <w:style w:type="paragraph" w:customStyle="1" w:styleId="FP">
    <w:name w:val="FP"/>
    <w:basedOn w:val="Normal"/>
    <w:rsid w:val="007A0BBA"/>
    <w:pPr>
      <w:spacing w:after="0"/>
      <w:jc w:val="left"/>
    </w:pPr>
    <w:rPr>
      <w:lang w:eastAsia="en-US"/>
    </w:rPr>
  </w:style>
  <w:style w:type="paragraph" w:customStyle="1" w:styleId="Observation">
    <w:name w:val="Observation"/>
    <w:basedOn w:val="Proposal"/>
    <w:qFormat/>
    <w:rsid w:val="007A0BBA"/>
    <w:pPr>
      <w:numPr>
        <w:numId w:val="13"/>
      </w:numPr>
      <w:ind w:left="1701" w:hanging="1701"/>
    </w:pPr>
  </w:style>
  <w:style w:type="paragraph" w:styleId="TableofFigures">
    <w:name w:val="table of figures"/>
    <w:basedOn w:val="Normal"/>
    <w:next w:val="Normal"/>
    <w:uiPriority w:val="99"/>
    <w:rsid w:val="007A0BBA"/>
    <w:pPr>
      <w:ind w:left="1418" w:hanging="1418"/>
      <w:jc w:val="left"/>
    </w:pPr>
    <w:rPr>
      <w:b/>
    </w:rPr>
  </w:style>
  <w:style w:type="paragraph" w:customStyle="1" w:styleId="CRCoverPage">
    <w:name w:val="CR Cover Page"/>
    <w:rsid w:val="007A0BBA"/>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024B57"/>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ink w:val="B1"/>
    <w:locked/>
    <w:rsid w:val="00024B57"/>
    <w:rPr>
      <w:rFonts w:ascii="Arial" w:hAnsi="Arial"/>
      <w:lang w:val="en-GB" w:eastAsia="en-US"/>
    </w:rPr>
  </w:style>
  <w:style w:type="character" w:styleId="SubtleReference">
    <w:name w:val="Subtle Reference"/>
    <w:basedOn w:val="DefaultParagraphFont"/>
    <w:uiPriority w:val="31"/>
    <w:qFormat/>
    <w:rsid w:val="00650C56"/>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025600">
      <w:bodyDiv w:val="1"/>
      <w:marLeft w:val="0"/>
      <w:marRight w:val="0"/>
      <w:marTop w:val="0"/>
      <w:marBottom w:val="0"/>
      <w:divBdr>
        <w:top w:val="none" w:sz="0" w:space="0" w:color="auto"/>
        <w:left w:val="none" w:sz="0" w:space="0" w:color="auto"/>
        <w:bottom w:val="none" w:sz="0" w:space="0" w:color="auto"/>
        <w:right w:val="none" w:sz="0" w:space="0" w:color="auto"/>
      </w:divBdr>
    </w:div>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5NUHHDQN7SK2-1-116723</_dlc_DocId>
    <TaxCatchAll xmlns="08b2df90-05d3-4030-90d4-c9feeb4a1cd9">
      <Value>10</Value>
      <Value>9</Value>
      <Value>8</Value>
      <Value>3</Value>
      <Value>1</Value>
    </TaxCatchAll>
    <_dlc_DocIdUrl xmlns="08b2df90-05d3-4030-90d4-c9feeb4a1cd9">
      <Url>https://ericoll.internal.ericsson.com/sites/STAR/_layouts/DocIdRedir.aspx?ID=5NUHHDQN7SK2-1-116723</Url>
      <Description>5NUHHDQN7SK2-1-116723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0C2E5F16-2420-4256-BF80-4E1425F04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345B7F0E-32C1-4043-961E-58F57B6E5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47</TotalTime>
  <Pages>4</Pages>
  <Words>1840</Words>
  <Characters>9758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Jens Bergqvist</cp:lastModifiedBy>
  <cp:revision>6</cp:revision>
  <cp:lastPrinted>2008-01-31T06:09:00Z</cp:lastPrinted>
  <dcterms:created xsi:type="dcterms:W3CDTF">2017-04-21T11:13:00Z</dcterms:created>
  <dcterms:modified xsi:type="dcterms:W3CDTF">2017-05-05T22:30:00Z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e63fb1e7-9c93-40a1-be27-009ab8231224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